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74F3C" w14:textId="6D062A8B" w:rsidR="002E5677" w:rsidRDefault="002E5677">
      <w:pPr>
        <w:rPr>
          <w:b/>
          <w:bCs/>
          <w:color w:val="002060"/>
          <w:sz w:val="28"/>
          <w:szCs w:val="28"/>
        </w:rPr>
      </w:pPr>
      <w:r w:rsidRPr="001B1C1E">
        <w:rPr>
          <w:b/>
          <w:bCs/>
          <w:color w:val="002060"/>
          <w:sz w:val="28"/>
          <w:szCs w:val="28"/>
        </w:rPr>
        <w:t>Peer Observation for Online Teaching</w:t>
      </w:r>
    </w:p>
    <w:p w14:paraId="1E3D2B8F" w14:textId="7A699299" w:rsidR="00AF4B89" w:rsidRDefault="0024162D">
      <w:pPr>
        <w:rPr>
          <w:b/>
          <w:bCs/>
          <w:color w:val="002060"/>
          <w:sz w:val="22"/>
          <w:szCs w:val="22"/>
        </w:rPr>
      </w:pPr>
      <w:r w:rsidRPr="00AF4B89">
        <w:rPr>
          <w:b/>
          <w:bCs/>
          <w:color w:val="002060"/>
          <w:sz w:val="22"/>
          <w:szCs w:val="22"/>
        </w:rPr>
        <w:t xml:space="preserve">Prepared by Malcolm Keating, </w:t>
      </w:r>
      <w:r w:rsidR="00AF4B89">
        <w:rPr>
          <w:b/>
          <w:bCs/>
          <w:color w:val="002060"/>
          <w:sz w:val="22"/>
          <w:szCs w:val="22"/>
        </w:rPr>
        <w:t xml:space="preserve">Assistant Professor of Philosophy, Yale-NUS College </w:t>
      </w:r>
    </w:p>
    <w:p w14:paraId="209B01F2" w14:textId="475EE327" w:rsidR="0024162D" w:rsidRPr="00AF4B89" w:rsidRDefault="0024162D">
      <w:pPr>
        <w:rPr>
          <w:b/>
          <w:bCs/>
          <w:color w:val="002060"/>
          <w:sz w:val="22"/>
          <w:szCs w:val="22"/>
        </w:rPr>
      </w:pPr>
      <w:r w:rsidRPr="00AF4B89">
        <w:rPr>
          <w:b/>
          <w:bCs/>
          <w:color w:val="002060"/>
          <w:sz w:val="22"/>
          <w:szCs w:val="22"/>
        </w:rPr>
        <w:t>September 2020</w:t>
      </w:r>
    </w:p>
    <w:p w14:paraId="2948DE5E" w14:textId="1D202796" w:rsidR="002E5677" w:rsidRDefault="002E5677">
      <w:pPr>
        <w:rPr>
          <w:b/>
          <w:bCs/>
          <w:color w:val="002060"/>
        </w:rPr>
      </w:pPr>
    </w:p>
    <w:p w14:paraId="675172D8" w14:textId="77777777" w:rsidR="00AF4B89" w:rsidRDefault="00AF4B89">
      <w:pPr>
        <w:rPr>
          <w:b/>
          <w:bCs/>
          <w:color w:val="002060"/>
        </w:rPr>
      </w:pPr>
    </w:p>
    <w:p w14:paraId="3941C210" w14:textId="022806A4" w:rsidR="002E5677" w:rsidRDefault="002E5677" w:rsidP="002E5677">
      <w:pPr>
        <w:rPr>
          <w:rFonts w:ascii="TradeGothic LT" w:hAnsi="TradeGothic LT" w:cs="Arial"/>
          <w:b/>
          <w:bCs/>
          <w:sz w:val="20"/>
          <w:szCs w:val="20"/>
        </w:rPr>
      </w:pPr>
      <w:r>
        <w:rPr>
          <w:rFonts w:ascii="TradeGothic LT" w:hAnsi="TradeGothic LT" w:cs="Arial"/>
          <w:b/>
          <w:bCs/>
          <w:sz w:val="20"/>
          <w:szCs w:val="20"/>
        </w:rPr>
        <w:t>Goals in Observing Online Contexts</w:t>
      </w:r>
    </w:p>
    <w:p w14:paraId="00ACEC48" w14:textId="04F13C09" w:rsidR="002E5677" w:rsidRDefault="002E5677" w:rsidP="002E5677">
      <w:pPr>
        <w:rPr>
          <w:rFonts w:ascii="TradeGothic LT" w:hAnsi="TradeGothic LT" w:cs="Arial"/>
          <w:b/>
          <w:bCs/>
          <w:sz w:val="20"/>
          <w:szCs w:val="20"/>
        </w:rPr>
      </w:pPr>
    </w:p>
    <w:p w14:paraId="3598C963" w14:textId="3AAFB4BE" w:rsidR="002E5677" w:rsidRDefault="002E5677" w:rsidP="002E5677">
      <w:pPr>
        <w:rPr>
          <w:rFonts w:ascii="TradeGothic LT" w:hAnsi="TradeGothic LT" w:cs="Arial"/>
          <w:sz w:val="20"/>
          <w:szCs w:val="20"/>
        </w:rPr>
      </w:pPr>
      <w:r>
        <w:rPr>
          <w:rFonts w:ascii="TradeGothic LT" w:hAnsi="TradeGothic LT" w:cs="Arial"/>
          <w:sz w:val="20"/>
          <w:szCs w:val="20"/>
        </w:rPr>
        <w:t>When observing classes taught online, either in whole or in part, there are different aspects of teaching, in comparison to teaching in a physical classroom context, to which the observer will want to attend. In addition to observation of the class time (lectures and seminars), an observer will want to look at the way that the instructor uses a Learning Management System (LMS) such as Canvas, and/or other online tools. The purpose of this is to help the instructor reflect on their use of these tools in relationship to their pedagogical goals.</w:t>
      </w:r>
      <w:r w:rsidR="00B22475">
        <w:rPr>
          <w:rFonts w:ascii="TradeGothic LT" w:hAnsi="TradeGothic LT" w:cs="Arial"/>
          <w:sz w:val="20"/>
          <w:szCs w:val="20"/>
        </w:rPr>
        <w:t xml:space="preserve"> An observer need not be an expert in learning technology in order to report on how the tools are being implemented.</w:t>
      </w:r>
    </w:p>
    <w:p w14:paraId="5CC172D9" w14:textId="045FE78C" w:rsidR="00B22475" w:rsidRDefault="00B22475" w:rsidP="002E5677">
      <w:pPr>
        <w:rPr>
          <w:rFonts w:ascii="TradeGothic LT" w:hAnsi="TradeGothic LT" w:cs="Arial"/>
          <w:sz w:val="20"/>
          <w:szCs w:val="20"/>
        </w:rPr>
      </w:pPr>
    </w:p>
    <w:p w14:paraId="6E428ADF" w14:textId="0C373F23" w:rsidR="00B22475" w:rsidRDefault="00B22475" w:rsidP="002E5677">
      <w:pPr>
        <w:rPr>
          <w:rFonts w:ascii="TradeGothic LT" w:hAnsi="TradeGothic LT" w:cs="Arial"/>
          <w:sz w:val="20"/>
          <w:szCs w:val="20"/>
        </w:rPr>
      </w:pPr>
      <w:r>
        <w:rPr>
          <w:rFonts w:ascii="TradeGothic LT" w:hAnsi="TradeGothic LT" w:cs="Arial"/>
          <w:sz w:val="20"/>
          <w:szCs w:val="20"/>
        </w:rPr>
        <w:t>Online classes may be fully online (</w:t>
      </w:r>
      <w:r w:rsidRPr="00B22475">
        <w:rPr>
          <w:rFonts w:ascii="TradeGothic LT" w:hAnsi="TradeGothic LT" w:cs="Arial"/>
          <w:b/>
          <w:bCs/>
          <w:sz w:val="20"/>
          <w:szCs w:val="20"/>
        </w:rPr>
        <w:t>remote</w:t>
      </w:r>
      <w:r>
        <w:rPr>
          <w:rFonts w:ascii="TradeGothic LT" w:hAnsi="TradeGothic LT" w:cs="Arial"/>
          <w:sz w:val="20"/>
          <w:szCs w:val="20"/>
        </w:rPr>
        <w:t xml:space="preserve">) or a </w:t>
      </w:r>
      <w:r w:rsidRPr="00B22475">
        <w:rPr>
          <w:rFonts w:ascii="TradeGothic LT" w:hAnsi="TradeGothic LT" w:cs="Arial"/>
          <w:b/>
          <w:bCs/>
          <w:sz w:val="20"/>
          <w:szCs w:val="20"/>
        </w:rPr>
        <w:t>hybrid</w:t>
      </w:r>
      <w:r>
        <w:rPr>
          <w:rFonts w:ascii="TradeGothic LT" w:hAnsi="TradeGothic LT" w:cs="Arial"/>
          <w:sz w:val="20"/>
          <w:szCs w:val="20"/>
        </w:rPr>
        <w:t xml:space="preserve">, where some students meet in person and others join in through conference call software such as Zoom. They may be </w:t>
      </w:r>
      <w:r w:rsidRPr="00B22475">
        <w:rPr>
          <w:rFonts w:ascii="TradeGothic LT" w:hAnsi="TradeGothic LT" w:cs="Arial"/>
          <w:b/>
          <w:bCs/>
          <w:sz w:val="20"/>
          <w:szCs w:val="20"/>
        </w:rPr>
        <w:t>synchronous</w:t>
      </w:r>
      <w:r>
        <w:rPr>
          <w:rFonts w:ascii="TradeGothic LT" w:hAnsi="TradeGothic LT" w:cs="Arial"/>
          <w:sz w:val="20"/>
          <w:szCs w:val="20"/>
        </w:rPr>
        <w:t xml:space="preserve">, in which students and instructor meet (virtually or physically) at the same time, or they may be </w:t>
      </w:r>
      <w:r w:rsidRPr="00B22475">
        <w:rPr>
          <w:rFonts w:ascii="TradeGothic LT" w:hAnsi="TradeGothic LT" w:cs="Arial"/>
          <w:b/>
          <w:bCs/>
          <w:sz w:val="20"/>
          <w:szCs w:val="20"/>
        </w:rPr>
        <w:t>asynchronous</w:t>
      </w:r>
      <w:r>
        <w:rPr>
          <w:rFonts w:ascii="TradeGothic LT" w:hAnsi="TradeGothic LT" w:cs="Arial"/>
          <w:sz w:val="20"/>
          <w:szCs w:val="20"/>
        </w:rPr>
        <w:t>, in which students and instructor interact primarily through shared documents, discussion boards, and chats. In the suggested practices below, sometimes observations will differ based on these characteristics.</w:t>
      </w:r>
    </w:p>
    <w:p w14:paraId="23D2188D" w14:textId="4E04ABB8" w:rsidR="00B22475" w:rsidRDefault="00B22475" w:rsidP="002E5677">
      <w:pPr>
        <w:rPr>
          <w:rFonts w:ascii="TradeGothic LT" w:hAnsi="TradeGothic LT" w:cs="Arial"/>
          <w:sz w:val="20"/>
          <w:szCs w:val="20"/>
        </w:rPr>
      </w:pPr>
    </w:p>
    <w:p w14:paraId="1B22870B" w14:textId="18C28F91" w:rsidR="00B22475" w:rsidRDefault="00B22475" w:rsidP="00B22475">
      <w:pPr>
        <w:rPr>
          <w:rFonts w:ascii="TradeGothic LT" w:hAnsi="TradeGothic LT" w:cs="Arial"/>
          <w:b/>
          <w:bCs/>
          <w:sz w:val="20"/>
          <w:szCs w:val="20"/>
        </w:rPr>
      </w:pPr>
      <w:r>
        <w:rPr>
          <w:rFonts w:ascii="TradeGothic LT" w:hAnsi="TradeGothic LT" w:cs="Arial"/>
          <w:b/>
          <w:bCs/>
          <w:sz w:val="20"/>
          <w:szCs w:val="20"/>
        </w:rPr>
        <w:t>What to Observe in Online Contexts</w:t>
      </w:r>
    </w:p>
    <w:p w14:paraId="243C8B29" w14:textId="77777777" w:rsidR="00B22475" w:rsidRPr="002E5677" w:rsidRDefault="00B22475" w:rsidP="002E5677">
      <w:pPr>
        <w:rPr>
          <w:rFonts w:ascii="TradeGothic LT" w:hAnsi="TradeGothic LT" w:cs="Arial"/>
          <w:sz w:val="20"/>
          <w:szCs w:val="20"/>
        </w:rPr>
      </w:pPr>
    </w:p>
    <w:p w14:paraId="538688CC" w14:textId="2190721D" w:rsidR="005E2A65" w:rsidRDefault="00B22475">
      <w:pPr>
        <w:rPr>
          <w:rFonts w:ascii="TradeGothic LT" w:hAnsi="TradeGothic LT" w:cs="Arial"/>
          <w:sz w:val="20"/>
          <w:szCs w:val="20"/>
        </w:rPr>
      </w:pPr>
      <w:r>
        <w:rPr>
          <w:rFonts w:ascii="TradeGothic LT" w:hAnsi="TradeGothic LT" w:cs="Arial"/>
          <w:sz w:val="20"/>
          <w:szCs w:val="20"/>
        </w:rPr>
        <w:t>The following eight good practices (</w:t>
      </w:r>
      <w:r w:rsidR="00171426">
        <w:rPr>
          <w:rFonts w:ascii="TradeGothic LT" w:hAnsi="TradeGothic LT" w:cs="Arial"/>
          <w:sz w:val="20"/>
          <w:szCs w:val="20"/>
        </w:rPr>
        <w:t xml:space="preserve">Gleason &amp; Sanger, </w:t>
      </w:r>
      <w:r>
        <w:rPr>
          <w:rFonts w:ascii="TradeGothic LT" w:hAnsi="TradeGothic LT" w:cs="Arial"/>
          <w:sz w:val="20"/>
          <w:szCs w:val="20"/>
        </w:rPr>
        <w:t>“</w:t>
      </w:r>
      <w:hyperlink r:id="rId7" w:anchor="page=11" w:history="1">
        <w:r w:rsidRPr="00B22475">
          <w:rPr>
            <w:rStyle w:val="Hyperlink"/>
            <w:rFonts w:ascii="TradeGothic LT" w:hAnsi="TradeGothic LT" w:cs="Arial"/>
            <w:sz w:val="20"/>
            <w:szCs w:val="20"/>
          </w:rPr>
          <w:t>What We Observe</w:t>
        </w:r>
      </w:hyperlink>
      <w:r>
        <w:rPr>
          <w:rFonts w:ascii="TradeGothic LT" w:hAnsi="TradeGothic LT" w:cs="Arial"/>
          <w:sz w:val="20"/>
          <w:szCs w:val="20"/>
        </w:rPr>
        <w:t>”</w:t>
      </w:r>
      <w:r w:rsidR="00F14ECA">
        <w:rPr>
          <w:rFonts w:ascii="TradeGothic LT" w:hAnsi="TradeGothic LT" w:cs="Arial"/>
          <w:sz w:val="20"/>
          <w:szCs w:val="20"/>
        </w:rPr>
        <w:t>)</w:t>
      </w:r>
      <w:r w:rsidR="00F14ECA">
        <w:rPr>
          <w:rStyle w:val="FootnoteReference"/>
          <w:rFonts w:ascii="TradeGothic LT" w:hAnsi="TradeGothic LT" w:cs="Arial"/>
          <w:sz w:val="20"/>
          <w:szCs w:val="20"/>
        </w:rPr>
        <w:footnoteReference w:id="1"/>
      </w:r>
      <w:r w:rsidR="00F14ECA">
        <w:rPr>
          <w:rFonts w:ascii="TradeGothic LT" w:hAnsi="TradeGothic LT" w:cs="Arial"/>
          <w:sz w:val="20"/>
          <w:szCs w:val="20"/>
        </w:rPr>
        <w:t xml:space="preserve"> </w:t>
      </w:r>
      <w:r>
        <w:rPr>
          <w:rFonts w:ascii="TradeGothic LT" w:hAnsi="TradeGothic LT" w:cs="Arial"/>
          <w:sz w:val="20"/>
          <w:szCs w:val="20"/>
        </w:rPr>
        <w:t xml:space="preserve">are the same for teaching online or in person. However, the kind of evidence observers will look for </w:t>
      </w:r>
      <w:r w:rsidR="00F14ECA">
        <w:rPr>
          <w:rFonts w:ascii="TradeGothic LT" w:hAnsi="TradeGothic LT" w:cs="Arial"/>
          <w:sz w:val="20"/>
          <w:szCs w:val="20"/>
        </w:rPr>
        <w:t>may</w:t>
      </w:r>
      <w:r>
        <w:rPr>
          <w:rFonts w:ascii="TradeGothic LT" w:hAnsi="TradeGothic LT" w:cs="Arial"/>
          <w:sz w:val="20"/>
          <w:szCs w:val="20"/>
        </w:rPr>
        <w:t xml:space="preserve"> vary depending on the classroom context. For each set of practices, this guide identifies questions observers can use to guide their evaluation. These questions are not </w:t>
      </w:r>
      <w:r w:rsidR="00A04A02">
        <w:rPr>
          <w:rFonts w:ascii="TradeGothic LT" w:hAnsi="TradeGothic LT" w:cs="Arial"/>
          <w:sz w:val="20"/>
          <w:szCs w:val="20"/>
        </w:rPr>
        <w:t>comprehensive, and may not apply to every classroom.</w:t>
      </w:r>
      <w:r w:rsidR="00171426">
        <w:rPr>
          <w:rStyle w:val="FootnoteReference"/>
          <w:rFonts w:ascii="TradeGothic LT" w:hAnsi="TradeGothic LT" w:cs="Arial"/>
          <w:sz w:val="20"/>
          <w:szCs w:val="20"/>
        </w:rPr>
        <w:footnoteReference w:id="2"/>
      </w:r>
    </w:p>
    <w:p w14:paraId="2B17EA37" w14:textId="4F8107C3" w:rsidR="00B22475" w:rsidRDefault="00B22475">
      <w:pPr>
        <w:rPr>
          <w:rFonts w:ascii="TradeGothic LT" w:hAnsi="TradeGothic LT" w:cs="Arial"/>
          <w:sz w:val="20"/>
          <w:szCs w:val="20"/>
        </w:rPr>
      </w:pPr>
    </w:p>
    <w:p w14:paraId="24139E21" w14:textId="3248A48A" w:rsidR="00B22475" w:rsidRDefault="00B22475" w:rsidP="00B22475">
      <w:pPr>
        <w:pStyle w:val="ListParagraph"/>
        <w:numPr>
          <w:ilvl w:val="0"/>
          <w:numId w:val="1"/>
        </w:numPr>
        <w:rPr>
          <w:rFonts w:ascii="TradeGothic LT" w:hAnsi="TradeGothic LT" w:cs="Arial"/>
          <w:sz w:val="20"/>
          <w:szCs w:val="20"/>
        </w:rPr>
      </w:pPr>
      <w:r>
        <w:rPr>
          <w:rFonts w:ascii="TradeGothic LT" w:hAnsi="TradeGothic LT" w:cs="Arial"/>
          <w:sz w:val="20"/>
          <w:szCs w:val="20"/>
        </w:rPr>
        <w:t>Clarity, Structure, and Format</w:t>
      </w:r>
    </w:p>
    <w:p w14:paraId="27DD1262" w14:textId="66231CE3" w:rsidR="00B22475" w:rsidRDefault="00B22475" w:rsidP="00B22475">
      <w:pPr>
        <w:pStyle w:val="ListParagraph"/>
        <w:numPr>
          <w:ilvl w:val="0"/>
          <w:numId w:val="1"/>
        </w:numPr>
        <w:rPr>
          <w:rFonts w:ascii="TradeGothic LT" w:hAnsi="TradeGothic LT" w:cs="Arial"/>
          <w:sz w:val="20"/>
          <w:szCs w:val="20"/>
        </w:rPr>
      </w:pPr>
      <w:r>
        <w:rPr>
          <w:rFonts w:ascii="TradeGothic LT" w:hAnsi="TradeGothic LT" w:cs="Arial"/>
          <w:sz w:val="20"/>
          <w:szCs w:val="20"/>
        </w:rPr>
        <w:t>Student Engagement &amp; Participation</w:t>
      </w:r>
    </w:p>
    <w:p w14:paraId="0D3EA3A3" w14:textId="77777777" w:rsidR="00B22475" w:rsidRPr="00B22475" w:rsidRDefault="00B22475" w:rsidP="00B22475">
      <w:pPr>
        <w:pStyle w:val="ListParagraph"/>
        <w:numPr>
          <w:ilvl w:val="0"/>
          <w:numId w:val="1"/>
        </w:numPr>
        <w:rPr>
          <w:rFonts w:ascii="TradeGothic LT" w:eastAsiaTheme="minorHAnsi" w:hAnsi="TradeGothic LT" w:cs="Arial"/>
          <w:sz w:val="20"/>
          <w:szCs w:val="20"/>
          <w:lang w:bidi="sa-IN"/>
        </w:rPr>
      </w:pPr>
      <w:r w:rsidRPr="00B22475">
        <w:rPr>
          <w:rFonts w:ascii="TradeGothic LT" w:eastAsiaTheme="minorHAnsi" w:hAnsi="TradeGothic LT" w:cs="Arial"/>
          <w:sz w:val="20"/>
          <w:szCs w:val="20"/>
          <w:lang w:bidi="sa-IN"/>
        </w:rPr>
        <w:t>Accessibility and Responsiveness to Student Learning Needs</w:t>
      </w:r>
    </w:p>
    <w:p w14:paraId="613BB962" w14:textId="77777777" w:rsidR="00B22475" w:rsidRPr="00B22475" w:rsidRDefault="00B22475" w:rsidP="00B22475">
      <w:pPr>
        <w:pStyle w:val="ListParagraph"/>
        <w:numPr>
          <w:ilvl w:val="0"/>
          <w:numId w:val="1"/>
        </w:numPr>
        <w:rPr>
          <w:rFonts w:ascii="TradeGothic LT" w:eastAsiaTheme="minorHAnsi" w:hAnsi="TradeGothic LT" w:cs="Arial"/>
          <w:sz w:val="20"/>
          <w:szCs w:val="20"/>
          <w:lang w:bidi="sa-IN"/>
        </w:rPr>
      </w:pPr>
      <w:r w:rsidRPr="00B22475">
        <w:rPr>
          <w:rFonts w:ascii="TradeGothic LT" w:eastAsiaTheme="minorHAnsi" w:hAnsi="TradeGothic LT" w:cs="Arial"/>
          <w:sz w:val="20"/>
          <w:szCs w:val="20"/>
          <w:lang w:bidi="sa-IN"/>
        </w:rPr>
        <w:t>Inclusivity and Responsiveness to Diverse Cultural Contexts</w:t>
      </w:r>
    </w:p>
    <w:p w14:paraId="1F96C330" w14:textId="77777777" w:rsidR="00B22475" w:rsidRPr="00B22475" w:rsidRDefault="00B22475" w:rsidP="00B22475">
      <w:pPr>
        <w:pStyle w:val="ListParagraph"/>
        <w:numPr>
          <w:ilvl w:val="0"/>
          <w:numId w:val="1"/>
        </w:numPr>
        <w:rPr>
          <w:rFonts w:ascii="TradeGothic LT" w:eastAsiaTheme="minorHAnsi" w:hAnsi="TradeGothic LT" w:cs="Arial"/>
          <w:sz w:val="20"/>
          <w:szCs w:val="20"/>
          <w:lang w:bidi="sa-IN"/>
        </w:rPr>
      </w:pPr>
      <w:r w:rsidRPr="00B22475">
        <w:rPr>
          <w:rFonts w:ascii="TradeGothic LT" w:eastAsiaTheme="minorHAnsi" w:hAnsi="TradeGothic LT" w:cs="Arial"/>
          <w:sz w:val="20"/>
          <w:szCs w:val="20"/>
          <w:lang w:bidi="sa-IN"/>
        </w:rPr>
        <w:t>Teaching Strategies and Instructional Technique</w:t>
      </w:r>
    </w:p>
    <w:p w14:paraId="6F4FEE88" w14:textId="77777777" w:rsidR="00B22475" w:rsidRPr="00B22475" w:rsidRDefault="00B22475" w:rsidP="00B22475">
      <w:pPr>
        <w:pStyle w:val="ListParagraph"/>
        <w:numPr>
          <w:ilvl w:val="0"/>
          <w:numId w:val="1"/>
        </w:numPr>
        <w:rPr>
          <w:rFonts w:ascii="TradeGothic LT" w:eastAsiaTheme="minorHAnsi" w:hAnsi="TradeGothic LT" w:cs="Arial"/>
          <w:sz w:val="20"/>
          <w:szCs w:val="20"/>
          <w:lang w:bidi="sa-IN"/>
        </w:rPr>
      </w:pPr>
      <w:r w:rsidRPr="00B22475">
        <w:rPr>
          <w:rFonts w:ascii="TradeGothic LT" w:eastAsiaTheme="minorHAnsi" w:hAnsi="TradeGothic LT" w:cs="Arial"/>
          <w:sz w:val="20"/>
          <w:szCs w:val="20"/>
          <w:lang w:bidi="sa-IN"/>
        </w:rPr>
        <w:t>Professor’s Accessibility and Interpersonal Style</w:t>
      </w:r>
    </w:p>
    <w:p w14:paraId="57705BE2" w14:textId="77777777" w:rsidR="00B22475" w:rsidRPr="00B22475" w:rsidRDefault="00B22475" w:rsidP="00B22475">
      <w:pPr>
        <w:pStyle w:val="ListParagraph"/>
        <w:numPr>
          <w:ilvl w:val="0"/>
          <w:numId w:val="1"/>
        </w:numPr>
        <w:rPr>
          <w:rFonts w:ascii="TradeGothic LT" w:eastAsiaTheme="minorHAnsi" w:hAnsi="TradeGothic LT" w:cs="Arial"/>
          <w:sz w:val="20"/>
          <w:szCs w:val="20"/>
          <w:lang w:bidi="sa-IN"/>
        </w:rPr>
      </w:pPr>
      <w:r w:rsidRPr="00B22475">
        <w:rPr>
          <w:rFonts w:ascii="TradeGothic LT" w:eastAsiaTheme="minorHAnsi" w:hAnsi="TradeGothic LT" w:cs="Arial"/>
          <w:sz w:val="20"/>
          <w:szCs w:val="20"/>
          <w:lang w:bidi="sa-IN"/>
        </w:rPr>
        <w:t>Achievement of Broad Yale-NUS Learning Goals</w:t>
      </w:r>
    </w:p>
    <w:p w14:paraId="431E6E3E" w14:textId="77777777" w:rsidR="00B22475" w:rsidRPr="00B22475" w:rsidRDefault="00B22475" w:rsidP="00B22475">
      <w:pPr>
        <w:pStyle w:val="ListParagraph"/>
        <w:numPr>
          <w:ilvl w:val="0"/>
          <w:numId w:val="1"/>
        </w:numPr>
        <w:rPr>
          <w:rFonts w:ascii="TradeGothic LT" w:eastAsiaTheme="minorHAnsi" w:hAnsi="TradeGothic LT" w:cs="Arial"/>
          <w:sz w:val="20"/>
          <w:szCs w:val="20"/>
          <w:lang w:bidi="sa-IN"/>
        </w:rPr>
      </w:pPr>
      <w:r w:rsidRPr="00B22475">
        <w:rPr>
          <w:rFonts w:ascii="TradeGothic LT" w:eastAsiaTheme="minorHAnsi" w:hAnsi="TradeGothic LT" w:cs="Arial"/>
          <w:sz w:val="20"/>
          <w:szCs w:val="20"/>
          <w:lang w:bidi="sa-IN"/>
        </w:rPr>
        <w:t>Overall Successes and Areas for Improvement or Experimentation</w:t>
      </w:r>
    </w:p>
    <w:p w14:paraId="6C181B16" w14:textId="77777777" w:rsidR="00B22475" w:rsidRPr="00B22475" w:rsidRDefault="00B22475" w:rsidP="00B22475">
      <w:pPr>
        <w:rPr>
          <w:rFonts w:ascii="TradeGothic LT" w:hAnsi="TradeGothic LT" w:cs="Arial"/>
          <w:sz w:val="20"/>
          <w:szCs w:val="20"/>
        </w:rPr>
      </w:pPr>
    </w:p>
    <w:p w14:paraId="451D4BD6" w14:textId="17306424" w:rsidR="00B22475" w:rsidRPr="00171426" w:rsidRDefault="00A04A02">
      <w:pPr>
        <w:rPr>
          <w:rFonts w:ascii="TradeGothic LT" w:hAnsi="TradeGothic LT" w:cs="Arial"/>
          <w:b/>
          <w:bCs/>
          <w:sz w:val="20"/>
          <w:szCs w:val="20"/>
        </w:rPr>
      </w:pPr>
      <w:r w:rsidRPr="00A04A02">
        <w:rPr>
          <w:rFonts w:ascii="TradeGothic LT" w:hAnsi="TradeGothic LT" w:cs="Arial"/>
          <w:b/>
          <w:bCs/>
          <w:sz w:val="20"/>
          <w:szCs w:val="20"/>
        </w:rPr>
        <w:t>Clarity, Structure, and Format</w:t>
      </w:r>
    </w:p>
    <w:p w14:paraId="59BBFEA4" w14:textId="77777777" w:rsidR="00A04A02" w:rsidRDefault="00A04A02" w:rsidP="00A04A02">
      <w:pPr>
        <w:pStyle w:val="ListParagraph"/>
        <w:numPr>
          <w:ilvl w:val="0"/>
          <w:numId w:val="2"/>
        </w:numPr>
        <w:rPr>
          <w:rFonts w:ascii="TradeGothic LT" w:hAnsi="TradeGothic LT" w:cs="Arial"/>
          <w:sz w:val="20"/>
          <w:szCs w:val="20"/>
        </w:rPr>
      </w:pPr>
      <w:r>
        <w:rPr>
          <w:rFonts w:ascii="TradeGothic LT" w:hAnsi="TradeGothic LT" w:cs="Arial"/>
          <w:sz w:val="20"/>
          <w:szCs w:val="20"/>
        </w:rPr>
        <w:t>If the instructor is using a single course platform, are student learning goals easily found?</w:t>
      </w:r>
    </w:p>
    <w:p w14:paraId="36DB17A9" w14:textId="3A383ECC" w:rsidR="00A04A02" w:rsidRDefault="00A04A02" w:rsidP="00A04A02">
      <w:pPr>
        <w:pStyle w:val="ListParagraph"/>
        <w:numPr>
          <w:ilvl w:val="0"/>
          <w:numId w:val="2"/>
        </w:numPr>
        <w:rPr>
          <w:rFonts w:ascii="TradeGothic LT" w:hAnsi="TradeGothic LT" w:cs="Arial"/>
          <w:sz w:val="20"/>
          <w:szCs w:val="20"/>
        </w:rPr>
      </w:pPr>
      <w:r>
        <w:rPr>
          <w:rFonts w:ascii="TradeGothic LT" w:hAnsi="TradeGothic LT" w:cs="Arial"/>
          <w:sz w:val="20"/>
          <w:szCs w:val="20"/>
        </w:rPr>
        <w:t>If they are using multiple platforms, is it clear to the students how they are integrated into their learning and why they are being used?</w:t>
      </w:r>
    </w:p>
    <w:p w14:paraId="1ACDE6B6" w14:textId="2C9966EB" w:rsidR="00A04A02" w:rsidRDefault="00A04A02" w:rsidP="00A04A02">
      <w:pPr>
        <w:pStyle w:val="ListParagraph"/>
        <w:numPr>
          <w:ilvl w:val="0"/>
          <w:numId w:val="2"/>
        </w:numPr>
        <w:rPr>
          <w:rFonts w:ascii="TradeGothic LT" w:hAnsi="TradeGothic LT" w:cs="Arial"/>
          <w:sz w:val="20"/>
          <w:szCs w:val="20"/>
        </w:rPr>
      </w:pPr>
      <w:r>
        <w:rPr>
          <w:rFonts w:ascii="TradeGothic LT" w:hAnsi="TradeGothic LT" w:cs="Arial"/>
          <w:sz w:val="20"/>
          <w:szCs w:val="20"/>
        </w:rPr>
        <w:t>Are students able to easily access all of the course materials online, such as their assignments, due dates, instructions, and so on?</w:t>
      </w:r>
    </w:p>
    <w:p w14:paraId="60580E2D" w14:textId="503A97F9" w:rsidR="00A04A02" w:rsidRDefault="00A04A02" w:rsidP="00A04A02">
      <w:pPr>
        <w:pStyle w:val="ListParagraph"/>
        <w:numPr>
          <w:ilvl w:val="0"/>
          <w:numId w:val="2"/>
        </w:numPr>
        <w:rPr>
          <w:rFonts w:ascii="TradeGothic LT" w:hAnsi="TradeGothic LT" w:cs="Arial"/>
          <w:sz w:val="20"/>
          <w:szCs w:val="20"/>
        </w:rPr>
      </w:pPr>
      <w:r>
        <w:rPr>
          <w:rFonts w:ascii="TradeGothic LT" w:hAnsi="TradeGothic LT" w:cs="Arial"/>
          <w:sz w:val="20"/>
          <w:szCs w:val="20"/>
        </w:rPr>
        <w:t xml:space="preserve">In a synchronous context, does the instructor refer to online course materials (such as Canvas </w:t>
      </w:r>
      <w:r w:rsidR="005F4456">
        <w:rPr>
          <w:rFonts w:ascii="TradeGothic LT" w:hAnsi="TradeGothic LT" w:cs="Arial"/>
          <w:sz w:val="20"/>
          <w:szCs w:val="20"/>
        </w:rPr>
        <w:t>cours</w:t>
      </w:r>
      <w:r>
        <w:rPr>
          <w:rFonts w:ascii="TradeGothic LT" w:hAnsi="TradeGothic LT" w:cs="Arial"/>
          <w:sz w:val="20"/>
          <w:szCs w:val="20"/>
        </w:rPr>
        <w:t>es, discussion boards, etc.)?</w:t>
      </w:r>
    </w:p>
    <w:p w14:paraId="30559FBE" w14:textId="77777777" w:rsidR="00171426" w:rsidRDefault="00A04A02" w:rsidP="00A04A02">
      <w:pPr>
        <w:pStyle w:val="ListParagraph"/>
        <w:numPr>
          <w:ilvl w:val="0"/>
          <w:numId w:val="2"/>
        </w:numPr>
        <w:rPr>
          <w:rFonts w:ascii="TradeGothic LT" w:hAnsi="TradeGothic LT" w:cs="Arial"/>
          <w:sz w:val="20"/>
          <w:szCs w:val="20"/>
        </w:rPr>
      </w:pPr>
      <w:r>
        <w:rPr>
          <w:rFonts w:ascii="TradeGothic LT" w:hAnsi="TradeGothic LT" w:cs="Arial"/>
          <w:sz w:val="20"/>
          <w:szCs w:val="20"/>
        </w:rPr>
        <w:t xml:space="preserve">Is the course </w:t>
      </w:r>
      <w:r w:rsidR="00171426">
        <w:rPr>
          <w:rFonts w:ascii="TradeGothic LT" w:hAnsi="TradeGothic LT" w:cs="Arial"/>
          <w:sz w:val="20"/>
          <w:szCs w:val="20"/>
        </w:rPr>
        <w:t>structure reflected in the online materials, such as Canvas? Can students easily identify where they are in the course (which unit, which questions, which problems etc.)?</w:t>
      </w:r>
      <w:bookmarkStart w:id="0" w:name="_GoBack"/>
      <w:bookmarkEnd w:id="0"/>
    </w:p>
    <w:p w14:paraId="140E1E3D" w14:textId="4BD4ABF3" w:rsidR="00A04A02" w:rsidRDefault="00171426" w:rsidP="00A04A02">
      <w:pPr>
        <w:pStyle w:val="ListParagraph"/>
        <w:numPr>
          <w:ilvl w:val="0"/>
          <w:numId w:val="2"/>
        </w:numPr>
        <w:rPr>
          <w:rFonts w:ascii="TradeGothic LT" w:hAnsi="TradeGothic LT" w:cs="Arial"/>
          <w:sz w:val="20"/>
          <w:szCs w:val="20"/>
        </w:rPr>
      </w:pPr>
      <w:r>
        <w:rPr>
          <w:rFonts w:ascii="TradeGothic LT" w:hAnsi="TradeGothic LT" w:cs="Arial"/>
          <w:sz w:val="20"/>
          <w:szCs w:val="20"/>
        </w:rPr>
        <w:t>Are there any “dead links” or missing materials? Are there any redundancies which might cause confusion (assignments listed in two places)?</w:t>
      </w:r>
    </w:p>
    <w:p w14:paraId="38D56165" w14:textId="77777777" w:rsidR="0024162D" w:rsidRPr="00A04A02" w:rsidRDefault="0024162D" w:rsidP="0024162D">
      <w:pPr>
        <w:pStyle w:val="ListParagraph"/>
        <w:rPr>
          <w:rFonts w:ascii="TradeGothic LT" w:hAnsi="TradeGothic LT" w:cs="Arial"/>
          <w:sz w:val="20"/>
          <w:szCs w:val="20"/>
        </w:rPr>
      </w:pPr>
    </w:p>
    <w:p w14:paraId="76524FCA" w14:textId="0FE8D9C0" w:rsidR="00171426" w:rsidRDefault="00171426" w:rsidP="00171426">
      <w:pPr>
        <w:rPr>
          <w:rFonts w:ascii="TradeGothic LT" w:hAnsi="TradeGothic LT" w:cs="Arial"/>
          <w:b/>
          <w:bCs/>
          <w:sz w:val="20"/>
          <w:szCs w:val="20"/>
        </w:rPr>
      </w:pPr>
      <w:r w:rsidRPr="00171426">
        <w:rPr>
          <w:rFonts w:ascii="TradeGothic LT" w:hAnsi="TradeGothic LT" w:cs="Arial"/>
          <w:b/>
          <w:bCs/>
          <w:sz w:val="20"/>
          <w:szCs w:val="20"/>
        </w:rPr>
        <w:t>Student Engagement &amp; Participation</w:t>
      </w:r>
    </w:p>
    <w:p w14:paraId="4E96DF7F" w14:textId="60E0B0A8" w:rsidR="00171426" w:rsidRDefault="00171426" w:rsidP="00171426">
      <w:pPr>
        <w:pStyle w:val="ListParagraph"/>
        <w:numPr>
          <w:ilvl w:val="0"/>
          <w:numId w:val="5"/>
        </w:numPr>
        <w:rPr>
          <w:rFonts w:ascii="TradeGothic LT" w:hAnsi="TradeGothic LT" w:cs="Arial"/>
          <w:sz w:val="20"/>
          <w:szCs w:val="20"/>
        </w:rPr>
      </w:pPr>
      <w:r>
        <w:rPr>
          <w:rFonts w:ascii="TradeGothic LT" w:hAnsi="TradeGothic LT" w:cs="Arial"/>
          <w:sz w:val="20"/>
          <w:szCs w:val="20"/>
        </w:rPr>
        <w:lastRenderedPageBreak/>
        <w:t>For hybrid synchronous classes: are students in the classroom and online actively engaged with one another? Does the instructor make explicit attempts to ensure they can do so?</w:t>
      </w:r>
    </w:p>
    <w:p w14:paraId="2E2B070E" w14:textId="1E7E6E0A" w:rsidR="00171426" w:rsidRDefault="00171426" w:rsidP="00171426">
      <w:pPr>
        <w:pStyle w:val="ListParagraph"/>
        <w:numPr>
          <w:ilvl w:val="0"/>
          <w:numId w:val="5"/>
        </w:numPr>
        <w:rPr>
          <w:rFonts w:ascii="TradeGothic LT" w:hAnsi="TradeGothic LT" w:cs="Arial"/>
          <w:sz w:val="20"/>
          <w:szCs w:val="20"/>
        </w:rPr>
      </w:pPr>
      <w:r>
        <w:rPr>
          <w:rFonts w:ascii="TradeGothic LT" w:hAnsi="TradeGothic LT" w:cs="Arial"/>
          <w:sz w:val="20"/>
          <w:szCs w:val="20"/>
        </w:rPr>
        <w:t xml:space="preserve">For online synchronous classes: are students actively engaged even when not speaking? What kind of strategies does the instructor use to keep them engaged (break out rooms, </w:t>
      </w:r>
      <w:r w:rsidR="009D7DA7">
        <w:rPr>
          <w:rFonts w:ascii="TradeGothic LT" w:hAnsi="TradeGothic LT" w:cs="Arial"/>
          <w:sz w:val="20"/>
          <w:szCs w:val="20"/>
        </w:rPr>
        <w:t>“fishbowl” discussions, collaborative g</w:t>
      </w:r>
      <w:r>
        <w:rPr>
          <w:rFonts w:ascii="TradeGothic LT" w:hAnsi="TradeGothic LT" w:cs="Arial"/>
          <w:sz w:val="20"/>
          <w:szCs w:val="20"/>
        </w:rPr>
        <w:t>roup documents, students managing the Zoom chat, etc.)?</w:t>
      </w:r>
    </w:p>
    <w:p w14:paraId="6D0E725A" w14:textId="77777777" w:rsidR="00171426" w:rsidRDefault="00171426" w:rsidP="00171426">
      <w:pPr>
        <w:pStyle w:val="ListParagraph"/>
        <w:numPr>
          <w:ilvl w:val="0"/>
          <w:numId w:val="5"/>
        </w:numPr>
        <w:rPr>
          <w:rFonts w:ascii="TradeGothic LT" w:hAnsi="TradeGothic LT" w:cs="Arial"/>
          <w:sz w:val="20"/>
          <w:szCs w:val="20"/>
        </w:rPr>
      </w:pPr>
      <w:r>
        <w:rPr>
          <w:rFonts w:ascii="TradeGothic LT" w:hAnsi="TradeGothic LT" w:cs="Arial"/>
          <w:sz w:val="20"/>
          <w:szCs w:val="20"/>
        </w:rPr>
        <w:t>For asynchronous classes: are students participating regularly and throughout the week or are they “clustering” their contributions just before the deadline? How does the instructor encourage participation?</w:t>
      </w:r>
    </w:p>
    <w:p w14:paraId="23A3C5F0" w14:textId="11F96035" w:rsidR="00171426" w:rsidRPr="009D7DA7" w:rsidRDefault="00171426" w:rsidP="00171426">
      <w:pPr>
        <w:pStyle w:val="ListParagraph"/>
        <w:numPr>
          <w:ilvl w:val="0"/>
          <w:numId w:val="5"/>
        </w:numPr>
        <w:rPr>
          <w:rFonts w:ascii="TradeGothic LT" w:hAnsi="TradeGothic LT" w:cs="Arial"/>
          <w:sz w:val="20"/>
          <w:szCs w:val="20"/>
        </w:rPr>
      </w:pPr>
      <w:r>
        <w:rPr>
          <w:rFonts w:ascii="TradeGothic LT" w:hAnsi="TradeGothic LT" w:cs="Arial"/>
          <w:sz w:val="20"/>
          <w:szCs w:val="20"/>
        </w:rPr>
        <w:t xml:space="preserve">In general: are there any technical challenges the students or instructor face? What strategies are they using, and what might they do differently? Are there backup plans for technological </w:t>
      </w:r>
      <w:r w:rsidR="009D7DA7">
        <w:rPr>
          <w:rFonts w:ascii="TradeGothic LT" w:hAnsi="TradeGothic LT" w:cs="Arial"/>
          <w:sz w:val="20"/>
          <w:szCs w:val="20"/>
        </w:rPr>
        <w:t>issues?</w:t>
      </w:r>
      <w:r>
        <w:rPr>
          <w:rFonts w:ascii="TradeGothic LT" w:hAnsi="TradeGothic LT" w:cs="Arial"/>
          <w:sz w:val="20"/>
          <w:szCs w:val="20"/>
        </w:rPr>
        <w:t xml:space="preserve"> </w:t>
      </w:r>
    </w:p>
    <w:p w14:paraId="1C517E34" w14:textId="77777777" w:rsidR="00171426" w:rsidRDefault="00171426" w:rsidP="00171426">
      <w:pPr>
        <w:rPr>
          <w:rFonts w:ascii="TradeGothic LT" w:hAnsi="TradeGothic LT" w:cs="Arial"/>
          <w:b/>
          <w:bCs/>
          <w:sz w:val="20"/>
          <w:szCs w:val="20"/>
        </w:rPr>
      </w:pPr>
    </w:p>
    <w:p w14:paraId="074DA8BE" w14:textId="36F23EB0" w:rsidR="00171426" w:rsidRDefault="00171426" w:rsidP="00171426">
      <w:pPr>
        <w:rPr>
          <w:rFonts w:ascii="TradeGothic LT" w:eastAsiaTheme="minorHAnsi" w:hAnsi="TradeGothic LT" w:cs="Arial"/>
          <w:b/>
          <w:bCs/>
          <w:sz w:val="20"/>
          <w:szCs w:val="20"/>
        </w:rPr>
      </w:pPr>
      <w:r w:rsidRPr="00171426">
        <w:rPr>
          <w:rFonts w:ascii="TradeGothic LT" w:eastAsiaTheme="minorHAnsi" w:hAnsi="TradeGothic LT" w:cs="Arial"/>
          <w:b/>
          <w:bCs/>
          <w:sz w:val="20"/>
          <w:szCs w:val="20"/>
        </w:rPr>
        <w:t>Accessibility and Responsiveness to Student Learning Needs</w:t>
      </w:r>
    </w:p>
    <w:p w14:paraId="5D89CAA0" w14:textId="03FF8CCF" w:rsidR="009D7DA7" w:rsidRDefault="009D7DA7" w:rsidP="009D7DA7">
      <w:pPr>
        <w:pStyle w:val="ListParagraph"/>
        <w:numPr>
          <w:ilvl w:val="0"/>
          <w:numId w:val="6"/>
        </w:numPr>
        <w:rPr>
          <w:rFonts w:ascii="TradeGothic LT" w:hAnsi="TradeGothic LT" w:cs="Arial"/>
          <w:sz w:val="20"/>
          <w:szCs w:val="20"/>
        </w:rPr>
      </w:pPr>
      <w:r>
        <w:rPr>
          <w:rFonts w:ascii="TradeGothic LT" w:hAnsi="TradeGothic LT" w:cs="Arial"/>
          <w:sz w:val="20"/>
          <w:szCs w:val="20"/>
        </w:rPr>
        <w:t xml:space="preserve">If possible, visit the instructional platform (LMS </w:t>
      </w:r>
      <w:proofErr w:type="spellStart"/>
      <w:r>
        <w:rPr>
          <w:rFonts w:ascii="TradeGothic LT" w:hAnsi="TradeGothic LT" w:cs="Arial"/>
          <w:sz w:val="20"/>
          <w:szCs w:val="20"/>
        </w:rPr>
        <w:t>etc</w:t>
      </w:r>
      <w:proofErr w:type="spellEnd"/>
      <w:r>
        <w:rPr>
          <w:rFonts w:ascii="TradeGothic LT" w:hAnsi="TradeGothic LT" w:cs="Arial"/>
          <w:sz w:val="20"/>
          <w:szCs w:val="20"/>
        </w:rPr>
        <w:t>) from a variety of devices: laptop running different operating systems, a tablet, a mobile phone. Is it easily accessed on each?</w:t>
      </w:r>
    </w:p>
    <w:p w14:paraId="7DC9883C" w14:textId="37DA4D19" w:rsidR="009D7DA7" w:rsidRDefault="009D7DA7" w:rsidP="009D7DA7">
      <w:pPr>
        <w:pStyle w:val="ListParagraph"/>
        <w:numPr>
          <w:ilvl w:val="0"/>
          <w:numId w:val="6"/>
        </w:numPr>
        <w:rPr>
          <w:rFonts w:ascii="TradeGothic LT" w:hAnsi="TradeGothic LT" w:cs="Arial"/>
          <w:sz w:val="20"/>
          <w:szCs w:val="20"/>
        </w:rPr>
      </w:pPr>
      <w:r>
        <w:rPr>
          <w:rFonts w:ascii="TradeGothic LT" w:hAnsi="TradeGothic LT" w:cs="Arial"/>
          <w:sz w:val="20"/>
          <w:szCs w:val="20"/>
        </w:rPr>
        <w:t xml:space="preserve">Does the instructor provide links or guides to help students with new technology? </w:t>
      </w:r>
    </w:p>
    <w:p w14:paraId="45D15F5F" w14:textId="77777777" w:rsidR="009D7DA7" w:rsidRDefault="009D7DA7" w:rsidP="00171426">
      <w:pPr>
        <w:pStyle w:val="ListParagraph"/>
        <w:numPr>
          <w:ilvl w:val="0"/>
          <w:numId w:val="6"/>
        </w:numPr>
        <w:rPr>
          <w:rFonts w:ascii="TradeGothic LT" w:hAnsi="TradeGothic LT" w:cs="Arial"/>
          <w:sz w:val="20"/>
          <w:szCs w:val="20"/>
        </w:rPr>
      </w:pPr>
      <w:r>
        <w:rPr>
          <w:rFonts w:ascii="TradeGothic LT" w:hAnsi="TradeGothic LT" w:cs="Arial"/>
          <w:sz w:val="20"/>
          <w:szCs w:val="20"/>
        </w:rPr>
        <w:t>Are there different modalities available for the lessons, such as closed captioning along with a video lecture, or written materials along with a podcast/audio lesson?</w:t>
      </w:r>
    </w:p>
    <w:p w14:paraId="065BA867" w14:textId="006EDEA1" w:rsidR="00171426" w:rsidRPr="009D7DA7" w:rsidRDefault="009D7DA7" w:rsidP="00171426">
      <w:pPr>
        <w:pStyle w:val="ListParagraph"/>
        <w:numPr>
          <w:ilvl w:val="0"/>
          <w:numId w:val="6"/>
        </w:numPr>
        <w:rPr>
          <w:rFonts w:ascii="TradeGothic LT" w:eastAsiaTheme="minorHAnsi" w:hAnsi="TradeGothic LT" w:cs="Arial"/>
          <w:sz w:val="20"/>
          <w:szCs w:val="20"/>
        </w:rPr>
      </w:pPr>
      <w:r w:rsidRPr="009D7DA7">
        <w:rPr>
          <w:rFonts w:ascii="TradeGothic LT" w:hAnsi="TradeGothic LT" w:cs="Arial"/>
          <w:sz w:val="20"/>
          <w:szCs w:val="20"/>
        </w:rPr>
        <w:t>For hybrid</w:t>
      </w:r>
      <w:r>
        <w:rPr>
          <w:rFonts w:ascii="TradeGothic LT" w:hAnsi="TradeGothic LT" w:cs="Arial"/>
          <w:sz w:val="20"/>
          <w:szCs w:val="20"/>
        </w:rPr>
        <w:t xml:space="preserve"> and online</w:t>
      </w:r>
      <w:r w:rsidRPr="009D7DA7">
        <w:rPr>
          <w:rFonts w:ascii="TradeGothic LT" w:hAnsi="TradeGothic LT" w:cs="Arial"/>
          <w:sz w:val="20"/>
          <w:szCs w:val="20"/>
        </w:rPr>
        <w:t xml:space="preserve"> synchronous classes</w:t>
      </w:r>
      <w:r>
        <w:rPr>
          <w:rFonts w:ascii="TradeGothic LT" w:hAnsi="TradeGothic LT" w:cs="Arial"/>
          <w:sz w:val="20"/>
          <w:szCs w:val="20"/>
        </w:rPr>
        <w:t>, what avenue do students have to give feedback to the instructor? Can online students use chat or a direct messaging system? Is the instructor pausing to check in, using technology like Zoom polls or Poll Everywhere?</w:t>
      </w:r>
    </w:p>
    <w:p w14:paraId="4B9EB813" w14:textId="77777777" w:rsidR="00171426" w:rsidRDefault="00171426" w:rsidP="00171426">
      <w:pPr>
        <w:rPr>
          <w:rFonts w:ascii="TradeGothic LT" w:eastAsiaTheme="minorHAnsi" w:hAnsi="TradeGothic LT" w:cs="Arial"/>
          <w:b/>
          <w:bCs/>
          <w:sz w:val="20"/>
          <w:szCs w:val="20"/>
        </w:rPr>
      </w:pPr>
    </w:p>
    <w:p w14:paraId="494F3865" w14:textId="67E53E7C" w:rsidR="00171426" w:rsidRDefault="00171426" w:rsidP="00171426">
      <w:pPr>
        <w:rPr>
          <w:rFonts w:ascii="TradeGothic LT" w:eastAsiaTheme="minorHAnsi" w:hAnsi="TradeGothic LT" w:cs="Arial"/>
          <w:sz w:val="20"/>
          <w:szCs w:val="20"/>
        </w:rPr>
      </w:pPr>
      <w:r w:rsidRPr="00171426">
        <w:rPr>
          <w:rFonts w:ascii="TradeGothic LT" w:eastAsiaTheme="minorHAnsi" w:hAnsi="TradeGothic LT" w:cs="Arial"/>
          <w:b/>
          <w:bCs/>
          <w:sz w:val="20"/>
          <w:szCs w:val="20"/>
        </w:rPr>
        <w:t>Inclusivity and Responsiveness to Diverse Cultural Contexts</w:t>
      </w:r>
    </w:p>
    <w:p w14:paraId="609B0EF6" w14:textId="37E9018F" w:rsidR="00171426" w:rsidRPr="006A713C" w:rsidRDefault="009D7DA7" w:rsidP="00171426">
      <w:pPr>
        <w:pStyle w:val="ListParagraph"/>
        <w:numPr>
          <w:ilvl w:val="0"/>
          <w:numId w:val="7"/>
        </w:numPr>
        <w:rPr>
          <w:rFonts w:ascii="TradeGothic LT" w:eastAsiaTheme="minorHAnsi" w:hAnsi="TradeGothic LT" w:cs="Arial"/>
          <w:sz w:val="20"/>
          <w:szCs w:val="20"/>
        </w:rPr>
      </w:pPr>
      <w:r>
        <w:rPr>
          <w:rFonts w:ascii="TradeGothic LT" w:hAnsi="TradeGothic LT" w:cs="Arial"/>
          <w:sz w:val="20"/>
          <w:szCs w:val="20"/>
        </w:rPr>
        <w:t>In addition to cultural contexts such as race, gender, ethnicity, etc., students have different experiences and comfort with technology. Do you notice any differences among students in this regard, and does the instructor acknowledge/account for it?</w:t>
      </w:r>
    </w:p>
    <w:p w14:paraId="1C6B8DEB" w14:textId="77777777" w:rsidR="00171426" w:rsidRDefault="00171426" w:rsidP="00171426">
      <w:pPr>
        <w:rPr>
          <w:rFonts w:ascii="TradeGothic LT" w:eastAsiaTheme="minorHAnsi" w:hAnsi="TradeGothic LT" w:cs="Arial"/>
          <w:b/>
          <w:bCs/>
          <w:sz w:val="20"/>
          <w:szCs w:val="20"/>
        </w:rPr>
      </w:pPr>
    </w:p>
    <w:p w14:paraId="7F335D72" w14:textId="23089C94" w:rsidR="00171426" w:rsidRPr="00171426" w:rsidRDefault="00171426" w:rsidP="00171426">
      <w:pPr>
        <w:rPr>
          <w:rFonts w:ascii="TradeGothic LT" w:eastAsiaTheme="minorHAnsi" w:hAnsi="TradeGothic LT" w:cs="Arial"/>
          <w:b/>
          <w:bCs/>
          <w:sz w:val="20"/>
          <w:szCs w:val="20"/>
        </w:rPr>
      </w:pPr>
      <w:r w:rsidRPr="00171426">
        <w:rPr>
          <w:rFonts w:ascii="TradeGothic LT" w:eastAsiaTheme="minorHAnsi" w:hAnsi="TradeGothic LT" w:cs="Arial"/>
          <w:b/>
          <w:bCs/>
          <w:sz w:val="20"/>
          <w:szCs w:val="20"/>
        </w:rPr>
        <w:t>Teaching Strategies and Instructional Technique</w:t>
      </w:r>
    </w:p>
    <w:p w14:paraId="1FA63067" w14:textId="77777777" w:rsidR="006A713C" w:rsidRDefault="009D7DA7" w:rsidP="009D7DA7">
      <w:pPr>
        <w:pStyle w:val="ListParagraph"/>
        <w:numPr>
          <w:ilvl w:val="0"/>
          <w:numId w:val="8"/>
        </w:numPr>
        <w:rPr>
          <w:rFonts w:ascii="TradeGothic LT" w:hAnsi="TradeGothic LT" w:cs="Arial"/>
          <w:sz w:val="20"/>
          <w:szCs w:val="20"/>
        </w:rPr>
      </w:pPr>
      <w:r>
        <w:rPr>
          <w:rFonts w:ascii="TradeGothic LT" w:hAnsi="TradeGothic LT" w:cs="Arial"/>
          <w:sz w:val="20"/>
          <w:szCs w:val="20"/>
        </w:rPr>
        <w:t xml:space="preserve">What kinds of materials does the instructor provide (a) asynchronously and (b) synchronously? Do they </w:t>
      </w:r>
      <w:r w:rsidR="006A713C">
        <w:rPr>
          <w:rFonts w:ascii="TradeGothic LT" w:hAnsi="TradeGothic LT" w:cs="Arial"/>
          <w:sz w:val="20"/>
          <w:szCs w:val="20"/>
        </w:rPr>
        <w:t xml:space="preserve">share lecture slides or an audio/video lecture in class or before class? Do they share their screen in real time? </w:t>
      </w:r>
    </w:p>
    <w:p w14:paraId="3A91F2EE" w14:textId="1AB9C8F1" w:rsidR="009D7DA7" w:rsidRDefault="006A713C" w:rsidP="009D7DA7">
      <w:pPr>
        <w:pStyle w:val="ListParagraph"/>
        <w:numPr>
          <w:ilvl w:val="0"/>
          <w:numId w:val="8"/>
        </w:numPr>
        <w:rPr>
          <w:rFonts w:ascii="TradeGothic LT" w:hAnsi="TradeGothic LT" w:cs="Arial"/>
          <w:sz w:val="20"/>
          <w:szCs w:val="20"/>
        </w:rPr>
      </w:pPr>
      <w:r>
        <w:rPr>
          <w:rFonts w:ascii="TradeGothic LT" w:hAnsi="TradeGothic LT" w:cs="Arial"/>
          <w:sz w:val="20"/>
          <w:szCs w:val="20"/>
        </w:rPr>
        <w:t>Are these materials integrated together? Are students able to access them?</w:t>
      </w:r>
    </w:p>
    <w:p w14:paraId="645E962C" w14:textId="4106D521" w:rsidR="006A713C" w:rsidRPr="009D7DA7" w:rsidRDefault="006A713C" w:rsidP="009D7DA7">
      <w:pPr>
        <w:pStyle w:val="ListParagraph"/>
        <w:numPr>
          <w:ilvl w:val="0"/>
          <w:numId w:val="8"/>
        </w:numPr>
        <w:rPr>
          <w:rFonts w:ascii="TradeGothic LT" w:eastAsiaTheme="minorHAnsi" w:hAnsi="TradeGothic LT" w:cs="Arial"/>
          <w:sz w:val="20"/>
          <w:szCs w:val="20"/>
        </w:rPr>
      </w:pPr>
      <w:r>
        <w:rPr>
          <w:rFonts w:ascii="TradeGothic LT" w:hAnsi="TradeGothic LT" w:cs="Arial"/>
          <w:sz w:val="20"/>
          <w:szCs w:val="20"/>
        </w:rPr>
        <w:t>Do students share materials? How—are they using a shared screen, file-sharing, etc.?</w:t>
      </w:r>
    </w:p>
    <w:p w14:paraId="2A0CD576" w14:textId="77777777" w:rsidR="00171426" w:rsidRDefault="00171426" w:rsidP="00171426">
      <w:pPr>
        <w:rPr>
          <w:rFonts w:ascii="TradeGothic LT" w:eastAsiaTheme="minorHAnsi" w:hAnsi="TradeGothic LT" w:cs="Arial"/>
          <w:b/>
          <w:bCs/>
          <w:sz w:val="20"/>
          <w:szCs w:val="20"/>
        </w:rPr>
      </w:pPr>
    </w:p>
    <w:p w14:paraId="19B40F12" w14:textId="71628345" w:rsidR="006A713C" w:rsidRDefault="00171426" w:rsidP="00171426">
      <w:pPr>
        <w:rPr>
          <w:rFonts w:ascii="TradeGothic LT" w:eastAsiaTheme="minorHAnsi" w:hAnsi="TradeGothic LT" w:cs="Arial"/>
          <w:sz w:val="20"/>
          <w:szCs w:val="20"/>
        </w:rPr>
      </w:pPr>
      <w:r w:rsidRPr="00171426">
        <w:rPr>
          <w:rFonts w:ascii="TradeGothic LT" w:eastAsiaTheme="minorHAnsi" w:hAnsi="TradeGothic LT" w:cs="Arial"/>
          <w:b/>
          <w:bCs/>
          <w:sz w:val="20"/>
          <w:szCs w:val="20"/>
        </w:rPr>
        <w:t>Professor’s Accessibility and Interpersonal Style</w:t>
      </w:r>
    </w:p>
    <w:p w14:paraId="654012C0" w14:textId="3626EFC4" w:rsidR="006A713C" w:rsidRDefault="006A713C" w:rsidP="006A713C">
      <w:pPr>
        <w:pStyle w:val="ListParagraph"/>
        <w:numPr>
          <w:ilvl w:val="0"/>
          <w:numId w:val="9"/>
        </w:numPr>
        <w:rPr>
          <w:rFonts w:ascii="TradeGothic LT" w:eastAsiaTheme="minorHAnsi" w:hAnsi="TradeGothic LT" w:cs="Arial"/>
          <w:sz w:val="20"/>
          <w:szCs w:val="20"/>
        </w:rPr>
      </w:pPr>
      <w:r>
        <w:rPr>
          <w:rFonts w:ascii="TradeGothic LT" w:eastAsiaTheme="minorHAnsi" w:hAnsi="TradeGothic LT" w:cs="Arial"/>
          <w:sz w:val="20"/>
          <w:szCs w:val="20"/>
        </w:rPr>
        <w:t>For online synchronous teaching: is the instructor audible? Visible? Are they seated or standing, and how does this impact classroom atmosphere virtually</w:t>
      </w:r>
      <w:r w:rsidR="007C5191">
        <w:rPr>
          <w:rFonts w:ascii="TradeGothic LT" w:eastAsiaTheme="minorHAnsi" w:hAnsi="TradeGothic LT" w:cs="Arial"/>
          <w:sz w:val="20"/>
          <w:szCs w:val="20"/>
        </w:rPr>
        <w:t xml:space="preserve">: such as </w:t>
      </w:r>
      <w:r>
        <w:rPr>
          <w:rFonts w:ascii="TradeGothic LT" w:eastAsiaTheme="minorHAnsi" w:hAnsi="TradeGothic LT" w:cs="Arial"/>
          <w:sz w:val="20"/>
          <w:szCs w:val="20"/>
        </w:rPr>
        <w:t>student ability to engage with the instructor and instructor ability to attend to students</w:t>
      </w:r>
      <w:r w:rsidR="007C5191">
        <w:rPr>
          <w:rFonts w:ascii="TradeGothic LT" w:eastAsiaTheme="minorHAnsi" w:hAnsi="TradeGothic LT" w:cs="Arial"/>
          <w:sz w:val="20"/>
          <w:szCs w:val="20"/>
        </w:rPr>
        <w:t>.</w:t>
      </w:r>
    </w:p>
    <w:p w14:paraId="0EC9114A" w14:textId="61FCBA22" w:rsidR="007C5191" w:rsidRDefault="007C5191" w:rsidP="006A713C">
      <w:pPr>
        <w:pStyle w:val="ListParagraph"/>
        <w:numPr>
          <w:ilvl w:val="0"/>
          <w:numId w:val="9"/>
        </w:numPr>
        <w:rPr>
          <w:rFonts w:ascii="TradeGothic LT" w:eastAsiaTheme="minorHAnsi" w:hAnsi="TradeGothic LT" w:cs="Arial"/>
          <w:sz w:val="20"/>
          <w:szCs w:val="20"/>
        </w:rPr>
      </w:pPr>
      <w:r>
        <w:rPr>
          <w:rFonts w:ascii="TradeGothic LT" w:eastAsiaTheme="minorHAnsi" w:hAnsi="TradeGothic LT" w:cs="Arial"/>
          <w:sz w:val="20"/>
          <w:szCs w:val="20"/>
        </w:rPr>
        <w:t>For hybrid synchronous teaching: in addition to attending to instructor’s physical presence, consider how this presence is interpreted by students in the physical classroom and in the virtual one. Is there a different impact on them? Are both sets of students able to engage with the instructor?</w:t>
      </w:r>
    </w:p>
    <w:p w14:paraId="37428A78" w14:textId="335AFC14" w:rsidR="00171426" w:rsidRPr="00171426" w:rsidRDefault="007C5191" w:rsidP="007C5191">
      <w:pPr>
        <w:pStyle w:val="ListParagraph"/>
        <w:numPr>
          <w:ilvl w:val="0"/>
          <w:numId w:val="9"/>
        </w:numPr>
        <w:rPr>
          <w:rFonts w:ascii="TradeGothic LT" w:eastAsiaTheme="minorHAnsi" w:hAnsi="TradeGothic LT" w:cs="Arial"/>
          <w:sz w:val="20"/>
          <w:szCs w:val="20"/>
        </w:rPr>
      </w:pPr>
      <w:r>
        <w:rPr>
          <w:rFonts w:ascii="TradeGothic LT" w:eastAsiaTheme="minorHAnsi" w:hAnsi="TradeGothic LT" w:cs="Arial"/>
          <w:sz w:val="20"/>
          <w:szCs w:val="20"/>
        </w:rPr>
        <w:t>For asynchronous teaching: how does the instructor convey their personal presence, command of the material, enthusiasm, and etc. through writing and other means? Are they intervening in online discussion boards? Are they sharing video/audio? How are they enabling students to have access to them when they have questions?</w:t>
      </w:r>
    </w:p>
    <w:p w14:paraId="7094C7B0" w14:textId="0EC6F736" w:rsidR="00171426" w:rsidRPr="00171426" w:rsidRDefault="00171426" w:rsidP="00171426">
      <w:pPr>
        <w:rPr>
          <w:rFonts w:ascii="TradeGothic LT" w:eastAsiaTheme="minorHAnsi" w:hAnsi="TradeGothic LT" w:cs="Arial"/>
          <w:sz w:val="20"/>
          <w:szCs w:val="20"/>
        </w:rPr>
      </w:pPr>
    </w:p>
    <w:p w14:paraId="6C5E22A2" w14:textId="77777777" w:rsidR="00171426" w:rsidRDefault="00171426" w:rsidP="00171426">
      <w:pPr>
        <w:rPr>
          <w:rFonts w:ascii="TradeGothic LT" w:eastAsiaTheme="minorHAnsi" w:hAnsi="TradeGothic LT" w:cs="Arial"/>
          <w:b/>
          <w:bCs/>
          <w:sz w:val="20"/>
          <w:szCs w:val="20"/>
        </w:rPr>
      </w:pPr>
    </w:p>
    <w:p w14:paraId="16BD8CB9" w14:textId="37CF8A37" w:rsidR="00171426" w:rsidRDefault="00171426" w:rsidP="00171426">
      <w:pPr>
        <w:rPr>
          <w:rFonts w:ascii="TradeGothic LT" w:eastAsiaTheme="minorHAnsi" w:hAnsi="TradeGothic LT" w:cs="Arial"/>
          <w:b/>
          <w:bCs/>
          <w:sz w:val="20"/>
          <w:szCs w:val="20"/>
        </w:rPr>
      </w:pPr>
      <w:r w:rsidRPr="00171426">
        <w:rPr>
          <w:rFonts w:ascii="TradeGothic LT" w:eastAsiaTheme="minorHAnsi" w:hAnsi="TradeGothic LT" w:cs="Arial"/>
          <w:b/>
          <w:bCs/>
          <w:sz w:val="20"/>
          <w:szCs w:val="20"/>
        </w:rPr>
        <w:t>Achievement of Broad Yale-NUS Learning Goals</w:t>
      </w:r>
    </w:p>
    <w:p w14:paraId="2FF63A58" w14:textId="6560DE01" w:rsidR="00171426" w:rsidRPr="00F14ECA" w:rsidRDefault="00F14ECA" w:rsidP="00171426">
      <w:pPr>
        <w:rPr>
          <w:rFonts w:ascii="TradeGothic LT" w:eastAsiaTheme="minorHAnsi" w:hAnsi="TradeGothic LT" w:cs="Arial"/>
          <w:sz w:val="20"/>
          <w:szCs w:val="20"/>
        </w:rPr>
      </w:pPr>
      <w:r>
        <w:rPr>
          <w:rFonts w:ascii="TradeGothic LT" w:eastAsiaTheme="minorHAnsi" w:hAnsi="TradeGothic LT" w:cs="Arial"/>
          <w:sz w:val="20"/>
          <w:szCs w:val="20"/>
        </w:rPr>
        <w:t>See existing guidelines.</w:t>
      </w:r>
    </w:p>
    <w:p w14:paraId="7206F4C3" w14:textId="77777777" w:rsidR="00171426" w:rsidRDefault="00171426" w:rsidP="00171426">
      <w:pPr>
        <w:rPr>
          <w:rFonts w:ascii="TradeGothic LT" w:eastAsiaTheme="minorHAnsi" w:hAnsi="TradeGothic LT" w:cs="Arial"/>
          <w:b/>
          <w:bCs/>
          <w:sz w:val="20"/>
          <w:szCs w:val="20"/>
        </w:rPr>
      </w:pPr>
    </w:p>
    <w:p w14:paraId="00CC4A56" w14:textId="7263998F" w:rsidR="00171426" w:rsidRPr="00171426" w:rsidRDefault="00171426" w:rsidP="00171426">
      <w:pPr>
        <w:rPr>
          <w:rFonts w:ascii="TradeGothic LT" w:eastAsiaTheme="minorHAnsi" w:hAnsi="TradeGothic LT" w:cs="Arial"/>
          <w:b/>
          <w:bCs/>
          <w:sz w:val="20"/>
          <w:szCs w:val="20"/>
        </w:rPr>
      </w:pPr>
      <w:r w:rsidRPr="00171426">
        <w:rPr>
          <w:rFonts w:ascii="TradeGothic LT" w:eastAsiaTheme="minorHAnsi" w:hAnsi="TradeGothic LT" w:cs="Arial"/>
          <w:b/>
          <w:bCs/>
          <w:sz w:val="20"/>
          <w:szCs w:val="20"/>
        </w:rPr>
        <w:t>Overall Successes and Areas for Improvement or Experimentation</w:t>
      </w:r>
    </w:p>
    <w:p w14:paraId="1429166A" w14:textId="763EEBD2" w:rsidR="00171426" w:rsidRPr="00171426" w:rsidRDefault="00F14ECA" w:rsidP="00171426">
      <w:pPr>
        <w:rPr>
          <w:rFonts w:ascii="TradeGothic LT" w:hAnsi="TradeGothic LT" w:cs="Arial"/>
          <w:sz w:val="20"/>
          <w:szCs w:val="20"/>
        </w:rPr>
      </w:pPr>
      <w:r>
        <w:rPr>
          <w:rFonts w:ascii="TradeGothic LT" w:hAnsi="TradeGothic LT" w:cs="Arial"/>
          <w:sz w:val="20"/>
          <w:szCs w:val="20"/>
        </w:rPr>
        <w:t>See existing guidelines.</w:t>
      </w:r>
    </w:p>
    <w:p w14:paraId="77AE69B0" w14:textId="77777777" w:rsidR="00A04A02" w:rsidRPr="002E5677" w:rsidRDefault="00A04A02">
      <w:pPr>
        <w:rPr>
          <w:rFonts w:ascii="TradeGothic LT" w:hAnsi="TradeGothic LT" w:cs="Arial"/>
          <w:sz w:val="20"/>
          <w:szCs w:val="20"/>
        </w:rPr>
      </w:pPr>
    </w:p>
    <w:sectPr w:rsidR="00A04A02" w:rsidRPr="002E5677" w:rsidSect="00AF4B8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F6F34" w14:textId="77777777" w:rsidR="004A28AC" w:rsidRDefault="004A28AC" w:rsidP="00171426">
      <w:r>
        <w:separator/>
      </w:r>
    </w:p>
  </w:endnote>
  <w:endnote w:type="continuationSeparator" w:id="0">
    <w:p w14:paraId="75D80F0A" w14:textId="77777777" w:rsidR="004A28AC" w:rsidRDefault="004A28AC" w:rsidP="0017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adeGothic LT">
    <w:altName w:val="Calibri"/>
    <w:charset w:val="4D"/>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E598" w14:textId="05D19AC0" w:rsidR="00F14ECA" w:rsidRPr="00F14ECA" w:rsidRDefault="00F14ECA">
    <w:pPr>
      <w:pStyle w:val="Footer"/>
      <w:rPr>
        <w:rFonts w:ascii="TradeGothic LT" w:hAnsi="TradeGothic LT"/>
        <w:sz w:val="20"/>
        <w:szCs w:val="20"/>
      </w:rPr>
    </w:pPr>
    <w:r w:rsidRPr="00F14ECA">
      <w:rPr>
        <w:rFonts w:ascii="TradeGothic LT" w:hAnsi="TradeGothic LT"/>
        <w:sz w:val="20"/>
        <w:szCs w:val="20"/>
      </w:rPr>
      <w:t xml:space="preserve">Page </w:t>
    </w:r>
    <w:r w:rsidRPr="00F14ECA">
      <w:rPr>
        <w:rFonts w:ascii="TradeGothic LT" w:hAnsi="TradeGothic LT"/>
        <w:sz w:val="20"/>
        <w:szCs w:val="20"/>
      </w:rPr>
      <w:fldChar w:fldCharType="begin"/>
    </w:r>
    <w:r w:rsidRPr="00F14ECA">
      <w:rPr>
        <w:rFonts w:ascii="TradeGothic LT" w:hAnsi="TradeGothic LT"/>
        <w:sz w:val="20"/>
        <w:szCs w:val="20"/>
      </w:rPr>
      <w:instrText xml:space="preserve"> PAGE </w:instrText>
    </w:r>
    <w:r w:rsidRPr="00F14ECA">
      <w:rPr>
        <w:rFonts w:ascii="TradeGothic LT" w:hAnsi="TradeGothic LT"/>
        <w:sz w:val="20"/>
        <w:szCs w:val="20"/>
      </w:rPr>
      <w:fldChar w:fldCharType="separate"/>
    </w:r>
    <w:r w:rsidRPr="00F14ECA">
      <w:rPr>
        <w:rFonts w:ascii="TradeGothic LT" w:hAnsi="TradeGothic LT"/>
        <w:noProof/>
        <w:sz w:val="20"/>
        <w:szCs w:val="20"/>
      </w:rPr>
      <w:t>2</w:t>
    </w:r>
    <w:r w:rsidRPr="00F14ECA">
      <w:rPr>
        <w:rFonts w:ascii="TradeGothic LT" w:hAnsi="TradeGothic LT"/>
        <w:sz w:val="20"/>
        <w:szCs w:val="20"/>
      </w:rPr>
      <w:fldChar w:fldCharType="end"/>
    </w:r>
    <w:r w:rsidRPr="00F14ECA">
      <w:rPr>
        <w:rFonts w:ascii="TradeGothic LT" w:hAnsi="TradeGothic LT"/>
        <w:sz w:val="20"/>
        <w:szCs w:val="20"/>
      </w:rPr>
      <w:t xml:space="preserve"> of </w:t>
    </w:r>
    <w:r w:rsidRPr="00F14ECA">
      <w:rPr>
        <w:rFonts w:ascii="TradeGothic LT" w:hAnsi="TradeGothic LT"/>
        <w:sz w:val="20"/>
        <w:szCs w:val="20"/>
      </w:rPr>
      <w:fldChar w:fldCharType="begin"/>
    </w:r>
    <w:r w:rsidRPr="00F14ECA">
      <w:rPr>
        <w:rFonts w:ascii="TradeGothic LT" w:hAnsi="TradeGothic LT"/>
        <w:sz w:val="20"/>
        <w:szCs w:val="20"/>
      </w:rPr>
      <w:instrText xml:space="preserve"> NUMPAGES </w:instrText>
    </w:r>
    <w:r w:rsidRPr="00F14ECA">
      <w:rPr>
        <w:rFonts w:ascii="TradeGothic LT" w:hAnsi="TradeGothic LT"/>
        <w:sz w:val="20"/>
        <w:szCs w:val="20"/>
      </w:rPr>
      <w:fldChar w:fldCharType="separate"/>
    </w:r>
    <w:r w:rsidRPr="00F14ECA">
      <w:rPr>
        <w:rFonts w:ascii="TradeGothic LT" w:hAnsi="TradeGothic LT"/>
        <w:noProof/>
        <w:sz w:val="20"/>
        <w:szCs w:val="20"/>
      </w:rPr>
      <w:t>2</w:t>
    </w:r>
    <w:r w:rsidRPr="00F14ECA">
      <w:rPr>
        <w:rFonts w:ascii="TradeGothic LT" w:hAnsi="TradeGothic LT"/>
        <w:sz w:val="20"/>
        <w:szCs w:val="20"/>
      </w:rPr>
      <w:fldChar w:fldCharType="end"/>
    </w:r>
    <w:r>
      <w:rPr>
        <w:rFonts w:ascii="TradeGothic LT" w:hAnsi="TradeGothic LT"/>
        <w:sz w:val="20"/>
        <w:szCs w:val="20"/>
      </w:rPr>
      <w:tab/>
    </w:r>
    <w:r>
      <w:rPr>
        <w:rFonts w:ascii="TradeGothic LT" w:hAnsi="TradeGothic LT"/>
        <w:sz w:val="20"/>
        <w:szCs w:val="20"/>
      </w:rPr>
      <w:tab/>
      <w:t>Malcolm Keating,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4564B" w14:textId="77777777" w:rsidR="004A28AC" w:rsidRDefault="004A28AC" w:rsidP="00171426">
      <w:r>
        <w:separator/>
      </w:r>
    </w:p>
  </w:footnote>
  <w:footnote w:type="continuationSeparator" w:id="0">
    <w:p w14:paraId="7AC0155E" w14:textId="77777777" w:rsidR="004A28AC" w:rsidRDefault="004A28AC" w:rsidP="00171426">
      <w:r>
        <w:continuationSeparator/>
      </w:r>
    </w:p>
  </w:footnote>
  <w:footnote w:id="1">
    <w:p w14:paraId="281EAAD8" w14:textId="7779E31C" w:rsidR="00F14ECA" w:rsidRPr="00F14ECA" w:rsidRDefault="00F14ECA">
      <w:pPr>
        <w:pStyle w:val="FootnoteText"/>
        <w:rPr>
          <w:rFonts w:ascii="TradeGothic LT" w:hAnsi="TradeGothic LT"/>
          <w:sz w:val="18"/>
        </w:rPr>
      </w:pPr>
      <w:r w:rsidRPr="00F14ECA">
        <w:rPr>
          <w:rStyle w:val="FootnoteReference"/>
          <w:rFonts w:ascii="TradeGothic LT" w:hAnsi="TradeGothic LT"/>
          <w:sz w:val="18"/>
        </w:rPr>
        <w:footnoteRef/>
      </w:r>
      <w:r w:rsidRPr="00F14ECA">
        <w:rPr>
          <w:rFonts w:ascii="TradeGothic LT" w:hAnsi="TradeGothic LT"/>
          <w:sz w:val="18"/>
        </w:rPr>
        <w:t xml:space="preserve"> Gleason, N. Sanger, C.S. (2018</w:t>
      </w:r>
      <w:proofErr w:type="gramStart"/>
      <w:r w:rsidRPr="00F14ECA">
        <w:rPr>
          <w:rFonts w:ascii="TradeGothic LT" w:hAnsi="TradeGothic LT"/>
          <w:sz w:val="18"/>
        </w:rPr>
        <w:t>).“</w:t>
      </w:r>
      <w:proofErr w:type="gramEnd"/>
      <w:r w:rsidRPr="00F14ECA">
        <w:rPr>
          <w:rFonts w:ascii="TradeGothic LT" w:hAnsi="TradeGothic LT"/>
          <w:sz w:val="18"/>
        </w:rPr>
        <w:t>Peer Observation of Teaching Guidelines: A Sourcebook for the International Liberal Arts Context Yale-NUS College. Centre for Teaching and Learning.</w:t>
      </w:r>
    </w:p>
  </w:footnote>
  <w:footnote w:id="2">
    <w:p w14:paraId="4A4A8A88" w14:textId="01B5A290" w:rsidR="00171426" w:rsidRPr="00171426" w:rsidRDefault="00171426" w:rsidP="00171426">
      <w:pPr>
        <w:pStyle w:val="FootnoteText"/>
        <w:rPr>
          <w:rFonts w:ascii="TradeGothic LT" w:hAnsi="TradeGothic LT"/>
          <w:sz w:val="18"/>
        </w:rPr>
      </w:pPr>
      <w:r w:rsidRPr="00171426">
        <w:rPr>
          <w:rStyle w:val="FootnoteReference"/>
          <w:rFonts w:ascii="TradeGothic LT" w:hAnsi="TradeGothic LT"/>
          <w:sz w:val="18"/>
        </w:rPr>
        <w:footnoteRef/>
      </w:r>
      <w:r w:rsidRPr="00171426">
        <w:rPr>
          <w:rFonts w:ascii="TradeGothic LT" w:hAnsi="TradeGothic LT"/>
          <w:sz w:val="18"/>
        </w:rPr>
        <w:t xml:space="preserve"> Questions are adapted from </w:t>
      </w:r>
      <w:r w:rsidRPr="00A04A02">
        <w:rPr>
          <w:rFonts w:ascii="TradeGothic LT" w:hAnsi="TradeGothic LT"/>
          <w:sz w:val="18"/>
        </w:rPr>
        <w:t xml:space="preserve">Harrison, L., &amp; </w:t>
      </w:r>
      <w:proofErr w:type="spellStart"/>
      <w:r w:rsidRPr="00A04A02">
        <w:rPr>
          <w:rFonts w:ascii="TradeGothic LT" w:hAnsi="TradeGothic LT"/>
          <w:sz w:val="18"/>
        </w:rPr>
        <w:t>Heikoop</w:t>
      </w:r>
      <w:proofErr w:type="spellEnd"/>
      <w:r w:rsidRPr="00A04A02">
        <w:rPr>
          <w:rFonts w:ascii="TradeGothic LT" w:hAnsi="TradeGothic LT"/>
          <w:sz w:val="18"/>
        </w:rPr>
        <w:t>, W. (2016). Online Learning Strategies, University of Toronto</w:t>
      </w:r>
      <w:r w:rsidRPr="00171426">
        <w:rPr>
          <w:rFonts w:ascii="TradeGothic LT" w:hAnsi="TradeGothic LT"/>
          <w:sz w:val="18"/>
        </w:rPr>
        <w:t xml:space="preserve"> and California State University (2019). Quality Online Learning &amp; Teaching, Instructor (Self) and Peer-Review Course Assessment Instrument. California State University. URL:</w:t>
      </w:r>
      <w:r>
        <w:rPr>
          <w:rFonts w:ascii="TradeGothic LT" w:hAnsi="TradeGothic LT"/>
          <w:sz w:val="18"/>
        </w:rPr>
        <w:t xml:space="preserve"> </w:t>
      </w:r>
      <w:r w:rsidRPr="00171426">
        <w:rPr>
          <w:rFonts w:ascii="TradeGothic LT" w:hAnsi="TradeGothic LT"/>
          <w:sz w:val="18"/>
        </w:rPr>
        <w:t>http://courseredesign.csuprojects.org/wp/qualityassurance/qlt-informal-review/</w:t>
      </w:r>
    </w:p>
    <w:p w14:paraId="69B50863" w14:textId="28B151A2" w:rsidR="00171426" w:rsidRDefault="0017142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3E4F"/>
    <w:multiLevelType w:val="hybridMultilevel"/>
    <w:tmpl w:val="FF224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233DE"/>
    <w:multiLevelType w:val="hybridMultilevel"/>
    <w:tmpl w:val="C05E9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12826"/>
    <w:multiLevelType w:val="hybridMultilevel"/>
    <w:tmpl w:val="F678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013AF"/>
    <w:multiLevelType w:val="hybridMultilevel"/>
    <w:tmpl w:val="CC9AA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A67C1"/>
    <w:multiLevelType w:val="hybridMultilevel"/>
    <w:tmpl w:val="6F2A3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B6780"/>
    <w:multiLevelType w:val="hybridMultilevel"/>
    <w:tmpl w:val="C05E9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23FDF"/>
    <w:multiLevelType w:val="hybridMultilevel"/>
    <w:tmpl w:val="0FE40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613CC"/>
    <w:multiLevelType w:val="hybridMultilevel"/>
    <w:tmpl w:val="F678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27404"/>
    <w:multiLevelType w:val="hybridMultilevel"/>
    <w:tmpl w:val="2A7A0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8"/>
  </w:num>
  <w:num w:numId="5">
    <w:abstractNumId w:val="6"/>
  </w:num>
  <w:num w:numId="6">
    <w:abstractNumId w:val="4"/>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CEqaGZsYGlkamlko6SsGpxcWZ+XkgBYa1AD8MlR8sAAAA"/>
  </w:docVars>
  <w:rsids>
    <w:rsidRoot w:val="00700EA0"/>
    <w:rsid w:val="000E5E4A"/>
    <w:rsid w:val="00111E28"/>
    <w:rsid w:val="00171426"/>
    <w:rsid w:val="001B1C1E"/>
    <w:rsid w:val="0024162D"/>
    <w:rsid w:val="002E5677"/>
    <w:rsid w:val="004A28AC"/>
    <w:rsid w:val="004A56F6"/>
    <w:rsid w:val="004C41D3"/>
    <w:rsid w:val="005F4456"/>
    <w:rsid w:val="006A713C"/>
    <w:rsid w:val="00700EA0"/>
    <w:rsid w:val="007572BD"/>
    <w:rsid w:val="007C5191"/>
    <w:rsid w:val="007E5967"/>
    <w:rsid w:val="009D7DA7"/>
    <w:rsid w:val="00A04A02"/>
    <w:rsid w:val="00AF4B89"/>
    <w:rsid w:val="00B22475"/>
    <w:rsid w:val="00B76221"/>
    <w:rsid w:val="00D46762"/>
    <w:rsid w:val="00E27159"/>
    <w:rsid w:val="00F14ECA"/>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69BB"/>
  <w15:chartTrackingRefBased/>
  <w15:docId w15:val="{640DF13F-ECFF-B240-B55C-0DEBE32A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1"/>
        <w:lang w:val="en-US" w:eastAsia="en-US" w:bidi="sa-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A02"/>
    <w:rPr>
      <w:rFonts w:ascii="Times New Roman" w:eastAsia="Times New Roman" w:hAnsi="Times New Roman" w:cs="Times New Roman"/>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475"/>
    <w:rPr>
      <w:color w:val="0563C1" w:themeColor="hyperlink"/>
      <w:u w:val="single"/>
    </w:rPr>
  </w:style>
  <w:style w:type="character" w:styleId="UnresolvedMention">
    <w:name w:val="Unresolved Mention"/>
    <w:basedOn w:val="DefaultParagraphFont"/>
    <w:uiPriority w:val="99"/>
    <w:semiHidden/>
    <w:unhideWhenUsed/>
    <w:rsid w:val="00B22475"/>
    <w:rPr>
      <w:color w:val="605E5C"/>
      <w:shd w:val="clear" w:color="auto" w:fill="E1DFDD"/>
    </w:rPr>
  </w:style>
  <w:style w:type="paragraph" w:styleId="ListParagraph">
    <w:name w:val="List Paragraph"/>
    <w:basedOn w:val="Normal"/>
    <w:uiPriority w:val="34"/>
    <w:qFormat/>
    <w:rsid w:val="00B22475"/>
    <w:pPr>
      <w:ind w:left="720"/>
      <w:contextualSpacing/>
    </w:pPr>
  </w:style>
  <w:style w:type="paragraph" w:styleId="FootnoteText">
    <w:name w:val="footnote text"/>
    <w:basedOn w:val="Normal"/>
    <w:link w:val="FootnoteTextChar"/>
    <w:uiPriority w:val="99"/>
    <w:semiHidden/>
    <w:unhideWhenUsed/>
    <w:rsid w:val="00171426"/>
    <w:rPr>
      <w:rFonts w:cs="Mangal"/>
      <w:sz w:val="20"/>
      <w:szCs w:val="18"/>
    </w:rPr>
  </w:style>
  <w:style w:type="character" w:customStyle="1" w:styleId="FootnoteTextChar">
    <w:name w:val="Footnote Text Char"/>
    <w:basedOn w:val="DefaultParagraphFont"/>
    <w:link w:val="FootnoteText"/>
    <w:uiPriority w:val="99"/>
    <w:semiHidden/>
    <w:rsid w:val="00171426"/>
    <w:rPr>
      <w:rFonts w:ascii="Times New Roman" w:eastAsia="Times New Roman" w:hAnsi="Times New Roman" w:cs="Mangal"/>
      <w:sz w:val="20"/>
      <w:szCs w:val="18"/>
      <w:lang w:bidi="hi-IN"/>
    </w:rPr>
  </w:style>
  <w:style w:type="character" w:styleId="FootnoteReference">
    <w:name w:val="footnote reference"/>
    <w:basedOn w:val="DefaultParagraphFont"/>
    <w:uiPriority w:val="99"/>
    <w:semiHidden/>
    <w:unhideWhenUsed/>
    <w:rsid w:val="00171426"/>
    <w:rPr>
      <w:vertAlign w:val="superscript"/>
    </w:rPr>
  </w:style>
  <w:style w:type="paragraph" w:styleId="Header">
    <w:name w:val="header"/>
    <w:basedOn w:val="Normal"/>
    <w:link w:val="HeaderChar"/>
    <w:uiPriority w:val="99"/>
    <w:unhideWhenUsed/>
    <w:rsid w:val="00F14ECA"/>
    <w:pPr>
      <w:tabs>
        <w:tab w:val="center" w:pos="4680"/>
        <w:tab w:val="right" w:pos="9360"/>
      </w:tabs>
    </w:pPr>
    <w:rPr>
      <w:rFonts w:cs="Mangal"/>
      <w:szCs w:val="21"/>
    </w:rPr>
  </w:style>
  <w:style w:type="character" w:customStyle="1" w:styleId="HeaderChar">
    <w:name w:val="Header Char"/>
    <w:basedOn w:val="DefaultParagraphFont"/>
    <w:link w:val="Header"/>
    <w:uiPriority w:val="99"/>
    <w:rsid w:val="00F14ECA"/>
    <w:rPr>
      <w:rFonts w:ascii="Times New Roman" w:eastAsia="Times New Roman" w:hAnsi="Times New Roman" w:cs="Mangal"/>
      <w:lang w:bidi="hi-IN"/>
    </w:rPr>
  </w:style>
  <w:style w:type="paragraph" w:styleId="Footer">
    <w:name w:val="footer"/>
    <w:basedOn w:val="Normal"/>
    <w:link w:val="FooterChar"/>
    <w:uiPriority w:val="99"/>
    <w:unhideWhenUsed/>
    <w:rsid w:val="00F14ECA"/>
    <w:pPr>
      <w:tabs>
        <w:tab w:val="center" w:pos="4680"/>
        <w:tab w:val="right" w:pos="9360"/>
      </w:tabs>
    </w:pPr>
    <w:rPr>
      <w:rFonts w:cs="Mangal"/>
      <w:szCs w:val="21"/>
    </w:rPr>
  </w:style>
  <w:style w:type="character" w:customStyle="1" w:styleId="FooterChar">
    <w:name w:val="Footer Char"/>
    <w:basedOn w:val="DefaultParagraphFont"/>
    <w:link w:val="Footer"/>
    <w:uiPriority w:val="99"/>
    <w:rsid w:val="00F14ECA"/>
    <w:rPr>
      <w:rFonts w:ascii="Times New Roman" w:eastAsia="Times New Roman" w:hAnsi="Times New Roman" w:cs="Mangal"/>
      <w:lang w:bidi="hi-IN"/>
    </w:rPr>
  </w:style>
  <w:style w:type="character" w:styleId="FollowedHyperlink">
    <w:name w:val="FollowedHyperlink"/>
    <w:basedOn w:val="DefaultParagraphFont"/>
    <w:uiPriority w:val="99"/>
    <w:semiHidden/>
    <w:unhideWhenUsed/>
    <w:rsid w:val="00AF4B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3263">
      <w:bodyDiv w:val="1"/>
      <w:marLeft w:val="0"/>
      <w:marRight w:val="0"/>
      <w:marTop w:val="0"/>
      <w:marBottom w:val="0"/>
      <w:divBdr>
        <w:top w:val="none" w:sz="0" w:space="0" w:color="auto"/>
        <w:left w:val="none" w:sz="0" w:space="0" w:color="auto"/>
        <w:bottom w:val="none" w:sz="0" w:space="0" w:color="auto"/>
        <w:right w:val="none" w:sz="0" w:space="0" w:color="auto"/>
      </w:divBdr>
    </w:div>
    <w:div w:id="94054979">
      <w:bodyDiv w:val="1"/>
      <w:marLeft w:val="0"/>
      <w:marRight w:val="0"/>
      <w:marTop w:val="0"/>
      <w:marBottom w:val="0"/>
      <w:divBdr>
        <w:top w:val="none" w:sz="0" w:space="0" w:color="auto"/>
        <w:left w:val="none" w:sz="0" w:space="0" w:color="auto"/>
        <w:bottom w:val="none" w:sz="0" w:space="0" w:color="auto"/>
        <w:right w:val="none" w:sz="0" w:space="0" w:color="auto"/>
      </w:divBdr>
    </w:div>
    <w:div w:id="325785588">
      <w:bodyDiv w:val="1"/>
      <w:marLeft w:val="0"/>
      <w:marRight w:val="0"/>
      <w:marTop w:val="0"/>
      <w:marBottom w:val="0"/>
      <w:divBdr>
        <w:top w:val="none" w:sz="0" w:space="0" w:color="auto"/>
        <w:left w:val="none" w:sz="0" w:space="0" w:color="auto"/>
        <w:bottom w:val="none" w:sz="0" w:space="0" w:color="auto"/>
        <w:right w:val="none" w:sz="0" w:space="0" w:color="auto"/>
      </w:divBdr>
    </w:div>
    <w:div w:id="352727631">
      <w:bodyDiv w:val="1"/>
      <w:marLeft w:val="0"/>
      <w:marRight w:val="0"/>
      <w:marTop w:val="0"/>
      <w:marBottom w:val="0"/>
      <w:divBdr>
        <w:top w:val="none" w:sz="0" w:space="0" w:color="auto"/>
        <w:left w:val="none" w:sz="0" w:space="0" w:color="auto"/>
        <w:bottom w:val="none" w:sz="0" w:space="0" w:color="auto"/>
        <w:right w:val="none" w:sz="0" w:space="0" w:color="auto"/>
      </w:divBdr>
    </w:div>
    <w:div w:id="379861027">
      <w:bodyDiv w:val="1"/>
      <w:marLeft w:val="0"/>
      <w:marRight w:val="0"/>
      <w:marTop w:val="0"/>
      <w:marBottom w:val="0"/>
      <w:divBdr>
        <w:top w:val="none" w:sz="0" w:space="0" w:color="auto"/>
        <w:left w:val="none" w:sz="0" w:space="0" w:color="auto"/>
        <w:bottom w:val="none" w:sz="0" w:space="0" w:color="auto"/>
        <w:right w:val="none" w:sz="0" w:space="0" w:color="auto"/>
      </w:divBdr>
    </w:div>
    <w:div w:id="496267697">
      <w:bodyDiv w:val="1"/>
      <w:marLeft w:val="0"/>
      <w:marRight w:val="0"/>
      <w:marTop w:val="0"/>
      <w:marBottom w:val="0"/>
      <w:divBdr>
        <w:top w:val="none" w:sz="0" w:space="0" w:color="auto"/>
        <w:left w:val="none" w:sz="0" w:space="0" w:color="auto"/>
        <w:bottom w:val="none" w:sz="0" w:space="0" w:color="auto"/>
        <w:right w:val="none" w:sz="0" w:space="0" w:color="auto"/>
      </w:divBdr>
    </w:div>
    <w:div w:id="500897365">
      <w:bodyDiv w:val="1"/>
      <w:marLeft w:val="0"/>
      <w:marRight w:val="0"/>
      <w:marTop w:val="0"/>
      <w:marBottom w:val="0"/>
      <w:divBdr>
        <w:top w:val="none" w:sz="0" w:space="0" w:color="auto"/>
        <w:left w:val="none" w:sz="0" w:space="0" w:color="auto"/>
        <w:bottom w:val="none" w:sz="0" w:space="0" w:color="auto"/>
        <w:right w:val="none" w:sz="0" w:space="0" w:color="auto"/>
      </w:divBdr>
    </w:div>
    <w:div w:id="929318921">
      <w:bodyDiv w:val="1"/>
      <w:marLeft w:val="0"/>
      <w:marRight w:val="0"/>
      <w:marTop w:val="0"/>
      <w:marBottom w:val="0"/>
      <w:divBdr>
        <w:top w:val="none" w:sz="0" w:space="0" w:color="auto"/>
        <w:left w:val="none" w:sz="0" w:space="0" w:color="auto"/>
        <w:bottom w:val="none" w:sz="0" w:space="0" w:color="auto"/>
        <w:right w:val="none" w:sz="0" w:space="0" w:color="auto"/>
      </w:divBdr>
    </w:div>
    <w:div w:id="978606915">
      <w:bodyDiv w:val="1"/>
      <w:marLeft w:val="0"/>
      <w:marRight w:val="0"/>
      <w:marTop w:val="0"/>
      <w:marBottom w:val="0"/>
      <w:divBdr>
        <w:top w:val="none" w:sz="0" w:space="0" w:color="auto"/>
        <w:left w:val="none" w:sz="0" w:space="0" w:color="auto"/>
        <w:bottom w:val="none" w:sz="0" w:space="0" w:color="auto"/>
        <w:right w:val="none" w:sz="0" w:space="0" w:color="auto"/>
      </w:divBdr>
    </w:div>
    <w:div w:id="1062875106">
      <w:bodyDiv w:val="1"/>
      <w:marLeft w:val="0"/>
      <w:marRight w:val="0"/>
      <w:marTop w:val="0"/>
      <w:marBottom w:val="0"/>
      <w:divBdr>
        <w:top w:val="none" w:sz="0" w:space="0" w:color="auto"/>
        <w:left w:val="none" w:sz="0" w:space="0" w:color="auto"/>
        <w:bottom w:val="none" w:sz="0" w:space="0" w:color="auto"/>
        <w:right w:val="none" w:sz="0" w:space="0" w:color="auto"/>
      </w:divBdr>
    </w:div>
    <w:div w:id="1137145382">
      <w:bodyDiv w:val="1"/>
      <w:marLeft w:val="0"/>
      <w:marRight w:val="0"/>
      <w:marTop w:val="0"/>
      <w:marBottom w:val="0"/>
      <w:divBdr>
        <w:top w:val="none" w:sz="0" w:space="0" w:color="auto"/>
        <w:left w:val="none" w:sz="0" w:space="0" w:color="auto"/>
        <w:bottom w:val="none" w:sz="0" w:space="0" w:color="auto"/>
        <w:right w:val="none" w:sz="0" w:space="0" w:color="auto"/>
      </w:divBdr>
    </w:div>
    <w:div w:id="1175419510">
      <w:bodyDiv w:val="1"/>
      <w:marLeft w:val="0"/>
      <w:marRight w:val="0"/>
      <w:marTop w:val="0"/>
      <w:marBottom w:val="0"/>
      <w:divBdr>
        <w:top w:val="none" w:sz="0" w:space="0" w:color="auto"/>
        <w:left w:val="none" w:sz="0" w:space="0" w:color="auto"/>
        <w:bottom w:val="none" w:sz="0" w:space="0" w:color="auto"/>
        <w:right w:val="none" w:sz="0" w:space="0" w:color="auto"/>
      </w:divBdr>
    </w:div>
    <w:div w:id="1222249528">
      <w:bodyDiv w:val="1"/>
      <w:marLeft w:val="0"/>
      <w:marRight w:val="0"/>
      <w:marTop w:val="0"/>
      <w:marBottom w:val="0"/>
      <w:divBdr>
        <w:top w:val="none" w:sz="0" w:space="0" w:color="auto"/>
        <w:left w:val="none" w:sz="0" w:space="0" w:color="auto"/>
        <w:bottom w:val="none" w:sz="0" w:space="0" w:color="auto"/>
        <w:right w:val="none" w:sz="0" w:space="0" w:color="auto"/>
      </w:divBdr>
    </w:div>
    <w:div w:id="1575311185">
      <w:bodyDiv w:val="1"/>
      <w:marLeft w:val="0"/>
      <w:marRight w:val="0"/>
      <w:marTop w:val="0"/>
      <w:marBottom w:val="0"/>
      <w:divBdr>
        <w:top w:val="none" w:sz="0" w:space="0" w:color="auto"/>
        <w:left w:val="none" w:sz="0" w:space="0" w:color="auto"/>
        <w:bottom w:val="none" w:sz="0" w:space="0" w:color="auto"/>
        <w:right w:val="none" w:sz="0" w:space="0" w:color="auto"/>
      </w:divBdr>
    </w:div>
    <w:div w:id="207893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ale-nus.edu.sg/academics/wp-content/uploads/sites/8/2022/01/Peer-Observation-Booklet-web-vers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Keating</dc:creator>
  <cp:keywords/>
  <dc:description/>
  <cp:lastModifiedBy>Seah Vipaporn</cp:lastModifiedBy>
  <cp:revision>3</cp:revision>
  <dcterms:created xsi:type="dcterms:W3CDTF">2022-06-09T07:24:00Z</dcterms:created>
  <dcterms:modified xsi:type="dcterms:W3CDTF">2023-03-14T08:41:00Z</dcterms:modified>
</cp:coreProperties>
</file>